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</w:pPr>
      <w:bookmarkStart w:id="0" w:name="_Toc30666"/>
      <w:bookmarkStart w:id="1" w:name="_Toc1545"/>
      <w:bookmarkStart w:id="2" w:name="_Toc27264"/>
      <w:bookmarkStart w:id="3" w:name="_Toc19826"/>
      <w:bookmarkStart w:id="4" w:name="_Toc22094"/>
      <w:bookmarkStart w:id="5" w:name="_Toc7292"/>
      <w:bookmarkStart w:id="6" w:name="_Toc17891"/>
      <w:bookmarkStart w:id="7" w:name="_Toc30390"/>
      <w:bookmarkStart w:id="8" w:name="_Toc16778"/>
      <w:bookmarkStart w:id="9" w:name="_Toc29975"/>
      <w:bookmarkStart w:id="10" w:name="_Toc11080"/>
      <w:bookmarkStart w:id="11" w:name="_Toc15291"/>
      <w:r>
        <w:rPr>
          <w:rFonts w:hint="eastAsia" w:ascii="思源黑体 CN Normal" w:hAnsi="思源黑体 CN Normal" w:eastAsia="思源黑体 CN Normal" w:cs="思源黑体 CN Normal"/>
          <w:b w:val="0"/>
          <w:bCs/>
          <w:color w:val="FFFFFF" w:themeColor="background1"/>
          <w:sz w:val="21"/>
          <w:szCs w:val="21"/>
          <w:lang w:val="en-US" w:eastAsia="zh-CN"/>
          <w14:textFill>
            <w14:solidFill>
              <w14:schemeClr w14:val="bg1"/>
            </w14:solidFill>
          </w14:textFill>
        </w:rPr>
        <w:t>封面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hint="eastAsia"/>
          <w:sz w:val="21"/>
          <w:szCs w:val="21"/>
          <w:lang w:val="en-US" w:eastAsia="zh-CN"/>
        </w:rPr>
        <w:t xml:space="preserve"> </w:t>
      </w:r>
    </w:p>
    <w:p>
      <w:pPr>
        <w:tabs>
          <w:tab w:val="left" w:pos="3873"/>
        </w:tabs>
        <w:rPr>
          <w:rFonts w:hint="eastAsia"/>
          <w:lang w:eastAsia="zh-CN"/>
        </w:rPr>
      </w:pPr>
    </w:p>
    <w:p>
      <w:pPr>
        <w:tabs>
          <w:tab w:val="left" w:pos="3873"/>
        </w:tabs>
      </w:pPr>
      <w:r>
        <w:rPr>
          <w:rFonts w:hint="eastAsia"/>
          <w:lang w:eastAsia="zh-CN"/>
        </w:rPr>
        <w:tab/>
      </w:r>
    </w:p>
    <w:p>
      <w:pPr>
        <w:jc w:val="center"/>
        <w:rPr>
          <w:rFonts w:hint="default" w:ascii="思源黑体 CN Bold" w:hAnsi="思源黑体 CN Bold" w:eastAsia="思源黑体 CN Bold" w:cs="思源黑体 CN Bold"/>
          <w:sz w:val="32"/>
          <w:szCs w:val="32"/>
          <w:lang w:val="en-US" w:eastAsia="zh-CN"/>
        </w:rPr>
      </w:pPr>
      <w:r>
        <w:rPr>
          <w:rFonts w:hint="eastAsia" w:ascii="思源黑体 CN Heavy" w:hAnsi="思源黑体 CN Heavy" w:eastAsia="思源黑体 CN Heavy" w:cs="思源黑体 CN Heavy"/>
          <w:sz w:val="44"/>
          <w:szCs w:val="44"/>
          <w:lang w:val="en-US" w:eastAsia="zh-CN"/>
        </w:rPr>
        <w:t xml:space="preserve">E485-B04模块使用手册                                                                                   </w:t>
      </w:r>
      <w:r>
        <w:rPr>
          <w:rFonts w:hint="eastAsia" w:ascii="思源黑体 CN Heavy" w:hAnsi="思源黑体 CN Heavy" w:eastAsia="思源黑体 CN Heavy" w:cs="思源黑体 CN Heavy"/>
          <w:sz w:val="44"/>
          <w:szCs w:val="44"/>
          <w:lang w:val="en-US" w:eastAsia="zh-CN"/>
        </w:rPr>
        <w:tab/>
      </w:r>
      <w:r>
        <w:rPr>
          <w:rFonts w:hint="eastAsia" w:ascii="思源黑体 CN Heavy" w:hAnsi="思源黑体 CN Heavy" w:eastAsia="思源黑体 CN Heavy" w:cs="思源黑体 CN Heavy"/>
          <w:sz w:val="44"/>
          <w:szCs w:val="44"/>
          <w:lang w:val="en-US" w:eastAsia="zh-CN"/>
        </w:rPr>
        <w:tab/>
      </w:r>
      <w:r>
        <w:rPr>
          <w:rFonts w:hint="eastAsia" w:ascii="思源黑体 CN Heavy" w:hAnsi="思源黑体 CN Heavy" w:eastAsia="思源黑体 CN Heavy" w:cs="思源黑体 CN Heavy"/>
          <w:sz w:val="44"/>
          <w:szCs w:val="44"/>
          <w:lang w:val="en-US" w:eastAsia="zh-CN"/>
        </w:rPr>
        <w:tab/>
      </w:r>
      <w:r>
        <w:rPr>
          <w:rFonts w:hint="eastAsia" w:ascii="思源黑体 CN Heavy" w:hAnsi="思源黑体 CN Heavy" w:eastAsia="思源黑体 CN Heavy" w:cs="思源黑体 CN Heavy"/>
          <w:sz w:val="44"/>
          <w:szCs w:val="44"/>
          <w:lang w:val="en-US" w:eastAsia="zh-CN"/>
        </w:rPr>
        <w:tab/>
      </w:r>
      <w:r>
        <w:rPr>
          <w:rFonts w:hint="eastAsia" w:ascii="思源黑体 CN Heavy" w:hAnsi="思源黑体 CN Heavy" w:eastAsia="思源黑体 CN Heavy" w:cs="思源黑体 CN Heavy"/>
          <w:sz w:val="44"/>
          <w:szCs w:val="44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drawing>
          <wp:inline distT="0" distB="0" distL="114300" distR="114300">
            <wp:extent cx="3816350" cy="3816350"/>
            <wp:effectExtent l="0" t="0" r="8890" b="8890"/>
            <wp:docPr id="1" name="图片 1" descr="4路主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路主图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ab/>
      </w:r>
      <w:r>
        <w:rPr>
          <w:rFonts w:hint="eastAsia" w:ascii="微软雅黑" w:hAnsi="微软雅黑" w:eastAsia="微软雅黑" w:cs="微软雅黑"/>
          <w:sz w:val="48"/>
          <w:szCs w:val="48"/>
          <w:lang w:val="en-US" w:eastAsia="zh-CN"/>
        </w:rPr>
        <w:tab/>
      </w: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873" w:right="1270" w:firstLine="0"/>
        <w:jc w:val="center"/>
        <w:textAlignment w:val="auto"/>
        <w:rPr>
          <w:rFonts w:hint="eastAsia" w:ascii="思源黑体 CN Normal" w:hAnsi="思源黑体 CN Normal" w:eastAsia="思源黑体 CN Normal" w:cs="思源黑体 CN Normal"/>
          <w:sz w:val="18"/>
          <w:szCs w:val="18"/>
        </w:rPr>
      </w:pP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</w:rPr>
        <w:t>本</w:t>
      </w: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  <w:lang w:eastAsia="zh-CN"/>
        </w:rPr>
        <w:t>手册</w:t>
      </w: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</w:rPr>
        <w:t>会随着产品的</w:t>
      </w: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  <w:lang w:eastAsia="zh-CN"/>
        </w:rPr>
        <w:t>迭代</w:t>
      </w: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</w:rPr>
        <w:t>改进而更新，请以最新版的</w:t>
      </w: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  <w:lang w:eastAsia="zh-CN"/>
        </w:rPr>
        <w:t>手册</w:t>
      </w: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</w:rPr>
        <w:t>为准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20" w:lineRule="exact"/>
        <w:ind w:left="873" w:right="1270" w:firstLine="0"/>
        <w:jc w:val="center"/>
        <w:textAlignment w:val="auto"/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</w:rPr>
      </w:pPr>
      <w:r>
        <w:rPr>
          <w:rFonts w:hint="eastAsia" w:ascii="思源黑体 CN Normal" w:hAnsi="思源黑体 CN Normal" w:eastAsia="思源黑体 CN Normal" w:cs="思源黑体 CN Normal"/>
          <w:color w:val="6E6E6E"/>
          <w:spacing w:val="-1"/>
          <w:w w:val="105"/>
          <w:sz w:val="18"/>
          <w:szCs w:val="18"/>
          <w:lang w:eastAsia="zh-CN"/>
        </w:rPr>
        <w:t>刀锋物联保留对本手册中所有的内容最终解释权及修改权</w:t>
      </w:r>
    </w:p>
    <w:p>
      <w:pPr>
        <w:jc w:val="both"/>
        <w:rPr>
          <w:rFonts w:hint="eastAsia"/>
          <w:lang w:eastAsia="zh-CN"/>
        </w:rPr>
      </w:pPr>
    </w:p>
    <w:p>
      <w:pPr>
        <w:jc w:val="both"/>
        <w:rPr>
          <w:rFonts w:hint="eastAsia" w:eastAsia="宋体"/>
          <w:lang w:eastAsia="zh-CN"/>
        </w:rPr>
      </w:pPr>
    </w:p>
    <w:p>
      <w:pPr>
        <w:jc w:val="both"/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Normal" w:hAnsi="思源黑体 CN Normal" w:eastAsia="思源黑体 CN Normal" w:cs="思源黑体 CN Normal"/>
          <w:b w:val="0"/>
          <w:bCs/>
          <w:color w:val="FFFFFF" w:themeColor="background1"/>
          <w:sz w:val="21"/>
          <w:szCs w:val="21"/>
          <w:lang w:val="en-US" w:eastAsia="zh-CN"/>
          <w14:textFill>
            <w14:solidFill>
              <w14:schemeClr w14:val="bg1"/>
            </w14:solidFill>
          </w14:textFill>
        </w:rPr>
      </w:pPr>
      <w:bookmarkStart w:id="12" w:name="_Toc5699"/>
      <w:bookmarkStart w:id="13" w:name="_Toc1412"/>
      <w:bookmarkStart w:id="14" w:name="_Toc22017"/>
      <w:r>
        <w:rPr>
          <w:rFonts w:hint="eastAsia" w:ascii="思源黑体 CN Normal" w:hAnsi="思源黑体 CN Normal" w:eastAsia="思源黑体 CN Normal" w:cs="思源黑体 CN Normal"/>
          <w:b w:val="0"/>
          <w:bCs/>
          <w:color w:val="FFFFFF" w:themeColor="background1"/>
          <w:sz w:val="21"/>
          <w:szCs w:val="21"/>
          <w:lang w:val="en-US" w:eastAsia="zh-CN"/>
          <w14:textFill>
            <w14:solidFill>
              <w14:schemeClr w14:val="bg1"/>
            </w14:solidFill>
          </w14:textFill>
        </w:rPr>
        <w:t>前言</w:t>
      </w:r>
      <w:bookmarkEnd w:id="12"/>
      <w:bookmarkEnd w:id="13"/>
      <w:bookmarkEnd w:id="14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rPr>
          <w:rFonts w:hint="eastAsia" w:ascii="思源黑体 CN Bold" w:hAnsi="思源黑体 CN Bold" w:eastAsia="思源黑体 CN Bold" w:cs="思源黑体 CN Bold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思源黑体 CN Bold" w:hAnsi="思源黑体 CN Bold" w:eastAsia="思源黑体 CN Bold" w:cs="思源黑体 CN Bold"/>
          <w:b w:val="0"/>
          <w:bCs w:val="0"/>
          <w:sz w:val="44"/>
          <w:szCs w:val="44"/>
          <w:lang w:val="en-US" w:eastAsia="zh-CN"/>
        </w:rPr>
        <w:t>前言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0" w:beforeAutospacing="0" w:after="120" w:afterLines="0" w:afterAutospacing="0" w:line="500" w:lineRule="exact"/>
        <w:jc w:val="both"/>
        <w:textAlignment w:val="auto"/>
        <w:outlineLvl w:val="1"/>
        <w:rPr>
          <w:rFonts w:hint="eastAsia"/>
          <w:lang w:val="en-US" w:eastAsia="zh-CN"/>
        </w:rPr>
      </w:pPr>
      <w:bookmarkStart w:id="15" w:name="_Toc32337"/>
      <w:bookmarkStart w:id="16" w:name="_Toc15493"/>
      <w:bookmarkStart w:id="17" w:name="_Toc506"/>
      <w:bookmarkStart w:id="18" w:name="_Toc9476"/>
      <w:r>
        <w:rPr>
          <w:rFonts w:hint="eastAsia" w:ascii="思源黑体 CN Bold" w:hAnsi="思源黑体 CN Bold" w:eastAsia="思源黑体 CN Bold" w:cs="思源黑体 CN Bold"/>
          <w:b/>
          <w:color w:val="000000"/>
          <w:kern w:val="2"/>
          <w:sz w:val="28"/>
          <w:szCs w:val="28"/>
          <w:lang w:val="en-US" w:eastAsia="zh-CN" w:bidi="ar-SA"/>
        </w:rPr>
        <w:t>手册内容</w:t>
      </w:r>
      <w:bookmarkEnd w:id="15"/>
      <w:bookmarkEnd w:id="16"/>
      <w:bookmarkEnd w:id="17"/>
      <w:bookmarkEnd w:id="18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rPr>
          <w:rFonts w:hint="eastAsia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本手册内容主要描述了E485-B04产品的资源、功能及使用，针对购买本产品的客户提供参考。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0" w:beforeAutospacing="0" w:after="120" w:afterLines="0" w:afterAutospacing="0" w:line="500" w:lineRule="exact"/>
        <w:jc w:val="both"/>
        <w:textAlignment w:val="auto"/>
        <w:outlineLvl w:val="1"/>
        <w:rPr>
          <w:rFonts w:hint="eastAsia"/>
          <w:lang w:val="en-US" w:eastAsia="zh-CN"/>
        </w:rPr>
      </w:pPr>
      <w:bookmarkStart w:id="19" w:name="_Toc15942"/>
      <w:bookmarkStart w:id="20" w:name="_Toc30443"/>
      <w:bookmarkStart w:id="21" w:name="_Toc11905"/>
      <w:bookmarkStart w:id="22" w:name="_Toc17023"/>
      <w:r>
        <w:rPr>
          <w:rFonts w:hint="eastAsia" w:ascii="思源黑体 CN Bold" w:hAnsi="思源黑体 CN Bold" w:eastAsia="思源黑体 CN Bold" w:cs="思源黑体 CN Bold"/>
          <w:b/>
          <w:color w:val="000000"/>
          <w:kern w:val="2"/>
          <w:sz w:val="28"/>
          <w:szCs w:val="28"/>
          <w:lang w:val="en-US" w:eastAsia="zh-CN" w:bidi="ar-SA"/>
        </w:rPr>
        <w:t>使用注意</w:t>
      </w:r>
      <w:bookmarkEnd w:id="19"/>
      <w:bookmarkEnd w:id="20"/>
      <w:bookmarkEnd w:id="21"/>
      <w:bookmarkEnd w:id="22"/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断电操作原则：对设备进行安装或拆卸作业前，必须先彻底断开电源连接，确保设备处于断电状态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端子接线规范：非特殊紧急情况，严禁在设备带电时在端子接线，防止瞬时电流冲击损坏设备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电压适配要求：启动设备或进行相关操作前，务必确认所使用的电源电压与设备规定的指定电压完全匹配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注意不要将直流电源接错，否则有可能会导致产品无法工作，甚至损坏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beforeLines="0" w:beforeAutospacing="0" w:after="120" w:afterLines="0" w:afterAutospacing="0" w:line="500" w:lineRule="exact"/>
        <w:jc w:val="both"/>
        <w:textAlignment w:val="auto"/>
        <w:outlineLvl w:val="1"/>
        <w:rPr>
          <w:rFonts w:hint="eastAsia"/>
          <w:lang w:val="en-US" w:eastAsia="zh-CN"/>
        </w:rPr>
      </w:pPr>
      <w:bookmarkStart w:id="23" w:name="_Toc4235"/>
      <w:bookmarkStart w:id="24" w:name="_Toc31815"/>
      <w:bookmarkStart w:id="25" w:name="_Toc19371"/>
      <w:bookmarkStart w:id="26" w:name="_Toc5310"/>
      <w:r>
        <w:rPr>
          <w:rFonts w:hint="eastAsia" w:ascii="思源黑体 CN Bold" w:hAnsi="思源黑体 CN Bold" w:eastAsia="思源黑体 CN Bold" w:cs="思源黑体 CN Bold"/>
          <w:b/>
          <w:color w:val="000000"/>
          <w:kern w:val="2"/>
          <w:sz w:val="28"/>
          <w:szCs w:val="28"/>
          <w:lang w:val="en-US" w:eastAsia="zh-CN" w:bidi="ar-SA"/>
        </w:rPr>
        <w:t>免责声明</w:t>
      </w:r>
      <w:bookmarkEnd w:id="23"/>
      <w:bookmarkEnd w:id="24"/>
      <w:bookmarkEnd w:id="25"/>
      <w:bookmarkEnd w:id="26"/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本产品建议使用年限根据环境、硬件寿命、操作、维护决定，不承诺实际使用寿命。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超年限使用出现稳定性/性能/兼容性等问题引发的直接/间接问题（数据丢失/业务中断等）本公司不承担责任，用户自行承担全部风险。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建议使用年限内，出现不可抗力（地震、洪水等）、用户原因（维护不及时、私拆改装、输入非法数据）、第三方因素（不兼容、网络异常、恶意网络攻击等）导致设备或云平台故障，本公司不担责。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本声明与产品合同、服务协议具同等法律效力。用户购买本产品即视为接受本声明；有异议需立即停止使用，继续使用即认可其约束效力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随着产品硬件或软件不断改进，手册可能会有所修改，本公司亦有权修订声明，修订后官方渠道公示次日生效，用户需遵守最新版本</w:t>
      </w:r>
    </w:p>
    <w:p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420" w:leftChars="0" w:hanging="420" w:firstLineChars="0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刀锋物联保留对本手册中所有内容的最终解释权及修改权</w:t>
      </w:r>
    </w:p>
    <w:p>
      <w:pPr>
        <w:jc w:val="center"/>
        <w:rPr>
          <w:rFonts w:hint="eastAsia"/>
          <w:lang w:eastAsia="zh-CN"/>
        </w:rPr>
      </w:pPr>
    </w:p>
    <w:p>
      <w:pPr>
        <w:jc w:val="both"/>
        <w:rPr>
          <w:rFonts w:hint="eastAsia" w:eastAsia="宋体"/>
          <w:lang w:eastAsia="zh-CN"/>
        </w:rPr>
      </w:pPr>
    </w:p>
    <w:p>
      <w:pPr>
        <w:jc w:val="both"/>
        <w:rPr>
          <w:rFonts w:hint="eastAsia" w:eastAsia="宋体"/>
          <w:lang w:eastAsia="zh-CN"/>
        </w:rPr>
      </w:pPr>
    </w:p>
    <w:p>
      <w:pPr>
        <w:jc w:val="both"/>
        <w:rPr>
          <w:rFonts w:hint="eastAsia" w:eastAsia="宋体"/>
          <w:lang w:eastAsia="zh-CN"/>
        </w:rPr>
      </w:pPr>
    </w:p>
    <w:p/>
    <w:p/>
    <w:p/>
    <w:p/>
    <w:p/>
    <w:p/>
    <w:sdt>
      <w:sdtPr>
        <w:rPr>
          <w:rFonts w:hint="eastAsia" w:ascii="思源黑体 CN Bold" w:hAnsi="思源黑体 CN Bold" w:eastAsia="思源黑体 CN Bold" w:cs="思源黑体 CN Bold"/>
          <w:sz w:val="32"/>
          <w:szCs w:val="32"/>
          <w:lang w:val="en-US" w:eastAsia="zh-CN"/>
        </w:rPr>
        <w:id w:val="147467474"/>
        <w15:color w:val="DBDBDB"/>
        <w:docPartObj>
          <w:docPartGallery w:val="Table of Contents"/>
          <w:docPartUnique/>
        </w:docPartObj>
      </w:sdtPr>
      <w:sdtEnd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sdtEndPr>
      <w:sdtContent>
        <w:p>
          <w:pPr>
            <w:pStyle w:val="2"/>
            <w:keepNext/>
            <w:keepLines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after="0" w:line="240" w:lineRule="auto"/>
            <w:jc w:val="center"/>
            <w:textAlignment w:val="auto"/>
            <w:rPr>
              <w:rFonts w:hint="eastAsia" w:ascii="思源黑体 CN Bold" w:hAnsi="思源黑体 CN Bold" w:eastAsia="思源黑体 CN Bold" w:cs="思源黑体 CN Bold"/>
              <w:sz w:val="32"/>
              <w:szCs w:val="32"/>
              <w:lang w:val="en-US" w:eastAsia="zh-CN"/>
            </w:rPr>
          </w:pPr>
          <w:bookmarkStart w:id="27" w:name="_Toc29470"/>
          <w:bookmarkStart w:id="28" w:name="_Toc29711"/>
          <w:bookmarkStart w:id="29" w:name="_Toc11296"/>
          <w:bookmarkStart w:id="30" w:name="_Toc7749"/>
          <w:bookmarkStart w:id="31" w:name="_Toc26258"/>
          <w:bookmarkStart w:id="32" w:name="_Toc5141"/>
          <w:r>
            <w:rPr>
              <w:rFonts w:hint="eastAsia" w:ascii="思源黑体 CN Bold" w:hAnsi="思源黑体 CN Bold" w:eastAsia="思源黑体 CN Bold" w:cs="思源黑体 CN Bold"/>
              <w:sz w:val="32"/>
              <w:szCs w:val="32"/>
              <w:lang w:val="en-US" w:eastAsia="zh-CN"/>
            </w:rPr>
            <w:t>目录</w:t>
          </w:r>
          <w:bookmarkEnd w:id="27"/>
          <w:bookmarkEnd w:id="28"/>
          <w:bookmarkEnd w:id="29"/>
          <w:bookmarkEnd w:id="30"/>
          <w:bookmarkEnd w:id="31"/>
          <w:bookmarkEnd w:id="32"/>
        </w:p>
        <w:p>
          <w:pPr>
            <w:pStyle w:val="10"/>
            <w:tabs>
              <w:tab w:val="right" w:leader="dot" w:pos="9740"/>
            </w:tabs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 w:val="21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 w:val="21"/>
              <w:szCs w:val="24"/>
              <w:lang w:val="en-US" w:eastAsia="zh-CN" w:bidi="ar-SA"/>
            </w:rPr>
            <w:instrText xml:space="preserve">TOC \o "1-3" \h \u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 w:val="21"/>
              <w:szCs w:val="24"/>
              <w:lang w:val="en-US" w:eastAsia="zh-CN" w:bidi="ar-SA"/>
            </w:rPr>
            <w:fldChar w:fldCharType="separate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_Toc18506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一、产品概述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ab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PAGEREF _Toc18506 \h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1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_Toc24436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1.1、产品简介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_Toc24436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_Toc28111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1.2、特点功能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_Toc28111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_Toc22756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1.3、应用场景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_Toc22756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_Toc24611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二、技术参数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ab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PAGEREF _Toc24611 \h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2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_Toc4125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三、产品规格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ab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PAGEREF _Toc4125 \h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3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_Toc4479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3.1、安装尺寸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_Toc4479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3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_Toc29212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3.2、接口说明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_Toc29212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3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_Toc6119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四、参数设置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ab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PAGEREF _Toc6119 \h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4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_Toc11729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五、产品功能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ab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PAGEREF _Toc11729 \h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6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_Toc31650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5.1、通用TCP转RTU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_Toc31650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6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_Toc13103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5.2、RTU转TCP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_Toc13103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7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_Toc31354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5.3、Server透传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_Toc31354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8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_Toc10228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5.4、普通Client透传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_Toc10228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9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_Toc28131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5.5、自定义Client透传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_Toc28131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10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_Toc26540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5.6、高级TCP转RTU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_Toc26540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13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_Toc13183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5.7、RTU主站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_Toc13183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19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_Toc4272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5.8、存储型TCP转RTU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_Toc4272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22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_Toc12949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5.9、按键功能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_Toc12949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23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1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HYPERLINK \l _Toc28206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5.10、特色功能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ab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instrText xml:space="preserve"> PAGEREF _Toc28206 \h </w:instrTex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t>24</w:t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_Toc20361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附录A、标准ACSII对照表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ab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PAGEREF _Toc20361 \h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26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_Toc21748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修订历史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 w:val="0"/>
            <w:tabs>
              <w:tab w:val="right" w:leader="dot" w:pos="974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00" w:lineRule="exact"/>
            <w:textAlignment w:val="auto"/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</w:pP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begin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instrText xml:space="preserve"> HYPERLINK \l _Toc8075 </w:instrTex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separate"/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t>关于我们</w:t>
          </w:r>
          <w:r>
            <w:rPr>
              <w:rFonts w:hint="eastAsia" w:ascii="思源黑体 CN Bold" w:hAnsi="思源黑体 CN Bold" w:eastAsia="思源黑体 CN Bold" w:cs="思源黑体 CN Bold"/>
              <w:kern w:val="44"/>
              <w:szCs w:val="30"/>
              <w:lang w:val="en-US" w:eastAsia="zh-CN" w:bidi="ar-SA"/>
            </w:rPr>
            <w:fldChar w:fldCharType="end"/>
          </w:r>
        </w:p>
        <w:p>
          <w:pPr>
            <w:rPr>
              <w:rFonts w:hint="eastAsia" w:ascii="Calibri" w:hAnsi="Calibri" w:eastAsia="宋体" w:cs="Times New Roman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 w:ascii="思源黑体 CN Normal" w:hAnsi="思源黑体 CN Normal" w:eastAsia="思源黑体 CN Normal" w:cs="思源黑体 CN Normal"/>
              <w:kern w:val="2"/>
              <w:szCs w:val="24"/>
              <w:lang w:val="en-US" w:eastAsia="zh-CN" w:bidi="ar-SA"/>
            </w:rPr>
            <w:fldChar w:fldCharType="end"/>
          </w:r>
        </w:p>
      </w:sdtContent>
    </w:sdt>
    <w:p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2363"/>
        </w:tabs>
        <w:bidi w:val="0"/>
        <w:jc w:val="left"/>
        <w:rPr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083" w:bottom="1440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docGrid w:type="lines" w:linePitch="312" w:charSpace="0"/>
        </w:sect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</w:pPr>
      <w:bookmarkStart w:id="33" w:name="_Toc16725"/>
      <w:bookmarkStart w:id="34" w:name="_Toc18506"/>
      <w:bookmarkStart w:id="35" w:name="_Toc4849"/>
      <w:bookmarkStart w:id="36" w:name="_Toc24119"/>
      <w:bookmarkStart w:id="37" w:name="_Toc31306"/>
      <w:bookmarkStart w:id="38" w:name="_Toc31767"/>
      <w:bookmarkStart w:id="39" w:name="OLE_LINK4"/>
      <w:bookmarkStart w:id="40" w:name="_Toc12076"/>
      <w:bookmarkStart w:id="41" w:name="_Toc12342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一、产品</w:t>
      </w:r>
      <w:bookmarkEnd w:id="33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概述</w:t>
      </w:r>
      <w:bookmarkEnd w:id="34"/>
      <w:bookmarkEnd w:id="35"/>
      <w:bookmarkEnd w:id="36"/>
      <w:bookmarkEnd w:id="37"/>
      <w:bookmarkEnd w:id="38"/>
    </w:p>
    <w:bookmarkEnd w:id="39"/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Lines="0" w:beforeAutospacing="0" w:after="120" w:afterLines="0" w:afterAutospacing="0" w:line="500" w:lineRule="exact"/>
        <w:jc w:val="both"/>
        <w:textAlignment w:val="auto"/>
        <w:outlineLvl w:val="1"/>
        <w:rPr>
          <w:rFonts w:hint="eastAsia" w:ascii="微软雅黑" w:hAnsi="微软雅黑" w:eastAsia="微软雅黑" w:cs="微软雅黑"/>
          <w:b/>
          <w:kern w:val="2"/>
          <w:sz w:val="24"/>
          <w:szCs w:val="24"/>
          <w:lang w:val="en-US" w:eastAsia="zh-CN" w:bidi="ar-SA"/>
        </w:rPr>
      </w:pPr>
      <w:bookmarkStart w:id="42" w:name="_Toc29556"/>
      <w:bookmarkStart w:id="43" w:name="_Toc291"/>
      <w:bookmarkStart w:id="44" w:name="_Toc24436"/>
      <w:bookmarkStart w:id="45" w:name="_Toc9175"/>
      <w:bookmarkStart w:id="46" w:name="_Toc23935"/>
      <w:bookmarkStart w:id="47" w:name="OLE_LINK3"/>
      <w:r>
        <w:rPr>
          <w:rFonts w:hint="eastAsia" w:ascii="思源黑体 CN Bold" w:hAnsi="思源黑体 CN Bold" w:eastAsia="思源黑体 CN Bold" w:cs="思源黑体 CN Bold"/>
          <w:b/>
          <w:color w:val="000000"/>
          <w:kern w:val="2"/>
          <w:sz w:val="28"/>
          <w:szCs w:val="28"/>
          <w:lang w:val="en-US" w:eastAsia="zh-CN" w:bidi="ar-SA"/>
        </w:rPr>
        <w:t>1.1、产品简介</w:t>
      </w:r>
      <w:bookmarkEnd w:id="42"/>
      <w:bookmarkEnd w:id="43"/>
      <w:bookmarkEnd w:id="44"/>
      <w:bookmarkEnd w:id="45"/>
      <w:bookmarkEnd w:id="46"/>
      <w:r>
        <w:rPr>
          <w:rFonts w:hint="eastAsia" w:ascii="思源黑体 CN Bold" w:hAnsi="思源黑体 CN Bold" w:eastAsia="思源黑体 CN Bold" w:cs="思源黑体 CN Bold"/>
          <w:b/>
          <w:color w:val="000000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楷体" w:hAnsi="楷体" w:eastAsia="楷体" w:cs="楷体"/>
          <w:b/>
          <w:color w:val="548DD4"/>
          <w:kern w:val="2"/>
          <w:sz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kern w:val="2"/>
          <w:sz w:val="32"/>
          <w:lang w:val="en-US" w:eastAsia="zh-CN"/>
        </w:rPr>
        <w:t xml:space="preserve"> </w:t>
      </w:r>
    </w:p>
    <w:bookmarkEnd w:id="47"/>
    <w:p>
      <w:pPr>
        <w:ind w:firstLine="500" w:firstLineChars="0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bookmarkStart w:id="48" w:name="_Toc29299"/>
      <w:bookmarkStart w:id="49" w:name="_Toc15672"/>
      <w:bookmarkStart w:id="50" w:name="_Toc15787"/>
      <w:bookmarkStart w:id="51" w:name="_Toc7220"/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E485-B04模块是一款多功能复合型串口服务器，它不仅拥有常规串口服务器功能，即可把标准RS485串口信号转换成TCP/IP信号，实现串口与TCP/IP网络接口之间的双向数据透明传输；同时，它还可轻松实现MODBUS TCP与MODBUS RTU协议互相转换，以及RTU主站等高级功能。模块使串口设备具备TCP/IP网络接口功能，连接以太网扩展通信模式，极大减少串口设备的布线工程，易于用户维护管理。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52" w:name="_Toc28111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1.2、</w:t>
      </w:r>
      <w:bookmarkEnd w:id="48"/>
      <w:bookmarkEnd w:id="49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特点功能</w:t>
      </w:r>
      <w:bookmarkEnd w:id="50"/>
      <w:bookmarkEnd w:id="51"/>
      <w:bookmarkEnd w:id="52"/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八种专业工作模式，多场景适配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支持通用/自分包型、自学习型MODBUS TCP转RTU、MODBUS RTU转TCP、Sever透传、普通/自定义Client透传、RTU主站等8种工作模式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4路独立RS485串口设计：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支持4路RS485串口，波特率1200-115200可选，支持NONE、EVEN、OLD三种校验，每路RS485都内置TVS+保险丝的双重防护。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超大缓存数据处理能力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：网口与串口独立配置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1024Byte缓存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，可有效应对突发大批量数据传输，避免高频数据收发造成的数据丢包、分包、卡顿问题，保障大数据量、高频率采集场景的数据完整性。</w:t>
      </w:r>
    </w:p>
    <w:p>
      <w:pPr>
        <w:numPr>
          <w:ilvl w:val="0"/>
          <w:numId w:val="2"/>
        </w:numPr>
        <w:ind w:left="420" w:leftChars="0" w:hanging="420" w:firstLineChars="0"/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丰富的TCP连接能力：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总计支持12路连接，每路串口最大可支持3路上位机同时连接，可实现多个上位机同时访问对应串口连接的设备。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双向透明传输，设备无损对接：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支持串口↔网口双向透明数据传输，无需解析修改设备原始协议，直接透传原始数据，兼容所有自定义串口协议，实现传统串口设备快速网络化升级，无需改造原有设备程序。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灵活MODBUS协议互通能力：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支持主流MODBUS工业协议双向互转，完美解决串口RTU设备与网口TCP设备协议不互通问题，可直接对接PLC、组态软件、工业云平台，快速实现设备数据采集。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RTU主站主动采集功能：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自带RTU主站轮询能力，可主动向下轮询串口从站设备数据，无需上位机下发指令即可自主完成数据采集与上传，简化上位机组态压力，适配无人值守自动采集场景。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简易网页可视化配置：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内置嵌入式网页配置系统，无需安装上位软件，电脑接入设备局域网即可登录网页端，快速完成波特率、校验位、工作模式、IP参数、转发规则等参数配置，调试简单、部署高效，支持批量设备统一配置。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中英文切换：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网页端支持全网页中英文切换，修改语言参数一键生效。无需繁琐操作，中英文界面自由切换，海内外使用都顺手。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以太网高速通信能力：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搭载1路标准RJ45网口，支持10/100Mbps以太网自适应速率，自动匹配现场网络环境，支持全双工/半双工自适应，网络传输速率高、兼容性广，可稳定接入各类工业交换机、上位机及网关设备。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工业级抗干扰性能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经过空气放电±8KV、接触放电±4KV，快脉冲群±2KV严格测试，抗干扰能力强，稳定可靠</w:t>
      </w:r>
    </w:p>
    <w:p>
      <w:pPr>
        <w:numPr>
          <w:ilvl w:val="0"/>
          <w:numId w:val="2"/>
        </w:numPr>
        <w:ind w:left="420" w:leftChars="0" w:hanging="420" w:firstLineChars="0"/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智能软件看门狗防护：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内置软件看门狗机制，实时监测设备运行状态，针对程序异常、网络卡死、数据阻塞等故障可自动复位重启，杜绝设备死机、离线卡死问题，保障设备稳定运行。</w:t>
      </w:r>
    </w:p>
    <w:p>
      <w:pPr>
        <w:numPr>
          <w:ilvl w:val="0"/>
          <w:numId w:val="2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Style w:val="15"/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标准工业安装结构：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采用精巧紧凑型工业外壳，支持35mm标准DIN导轨卡扣式安装，适配常规工业控制柜安装尺寸，拆装便捷、占用空间小，适配各类自动化控制柜集成部署。</w:t>
      </w:r>
    </w:p>
    <w:bookmarkEnd w:id="40"/>
    <w:bookmarkEnd w:id="41"/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53" w:name="_Toc22756"/>
      <w:bookmarkStart w:id="54" w:name="_Toc2156"/>
      <w:bookmarkStart w:id="55" w:name="_Toc6647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1.3、应用场景</w:t>
      </w:r>
      <w:bookmarkEnd w:id="53"/>
      <w:bookmarkEnd w:id="54"/>
      <w:bookmarkEnd w:id="55"/>
    </w:p>
    <w:p>
      <w:pPr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E485-B04模块可广泛应于：工业自动化、PLC 控制、楼宇自控、电力监控、门禁医疗、电信机 房监控、测量仪表及环境监测等需要实现串口与以太网互联的设备或系统。</w:t>
      </w:r>
    </w:p>
    <w:p>
      <w:pPr>
        <w:bidi w:val="0"/>
        <w:rPr>
          <w:rFonts w:hint="eastAsia"/>
          <w:lang w:val="en-US" w:eastAsia="zh-CN"/>
        </w:r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</w:pPr>
      <w:bookmarkStart w:id="56" w:name="_Toc26459"/>
      <w:bookmarkStart w:id="57" w:name="_Toc25831"/>
      <w:bookmarkStart w:id="58" w:name="_Toc24611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二、</w:t>
      </w:r>
      <w:bookmarkEnd w:id="56"/>
      <w:bookmarkEnd w:id="57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技术参数</w:t>
      </w:r>
      <w:bookmarkEnd w:id="58"/>
    </w:p>
    <w:tbl>
      <w:tblPr>
        <w:tblStyle w:val="12"/>
        <w:tblW w:w="94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5"/>
        <w:gridCol w:w="80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4A4A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串口参数</w:t>
            </w:r>
          </w:p>
        </w:tc>
        <w:tc>
          <w:tcPr>
            <w:tcW w:w="8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接口类型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RS485螺钉式接线端子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串口数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串口格式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波特率1200~115200，数据位7或8位，停止位1、1.5、2位，校验位NONE、EVEN、OLD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缓存容量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1024字节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传输距离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RS485、RS485最大1200米；RS232最大15米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4A4A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以太网参数</w:t>
            </w:r>
          </w:p>
        </w:tc>
        <w:tc>
          <w:tcPr>
            <w:tcW w:w="8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  <w:t>接口类型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RJ45母座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  <w:t>通讯协议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Modbus TCP;TCP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缓存容量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1024字节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  <w:t>传输速率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10/100Mbps;全双工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IP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默认IP:192.168.1.66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4A4A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Light" w:hAnsi="思源黑体 CN Light" w:eastAsia="思源黑体 CN Light" w:cs="思源黑体 CN Light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电气参数</w:t>
            </w:r>
          </w:p>
        </w:tc>
        <w:tc>
          <w:tcPr>
            <w:tcW w:w="8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  <w:t>供电电源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DC9~28V;带防反接保护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eastAsia="zh-CN"/>
              </w:rPr>
              <w:t>功耗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约0.5W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EMC防护等级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IEC 61000-4-2 ESD:接触±4KV、空气±8KV，IEC 61000-4-4 EFT:±2KV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4A4A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</w:t>
            </w:r>
          </w:p>
        </w:tc>
        <w:tc>
          <w:tcPr>
            <w:tcW w:w="80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工作温度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-15℃~+65℃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存储温度</w:t>
            </w:r>
          </w:p>
        </w:tc>
        <w:tc>
          <w:tcPr>
            <w:tcW w:w="8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-20℃~+70℃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4A4A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</w:t>
            </w:r>
          </w:p>
        </w:tc>
        <w:tc>
          <w:tcPr>
            <w:tcW w:w="80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安装方式</w:t>
            </w:r>
          </w:p>
        </w:tc>
        <w:tc>
          <w:tcPr>
            <w:tcW w:w="8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35mm DIN导轨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</w:t>
            </w:r>
          </w:p>
        </w:tc>
        <w:tc>
          <w:tcPr>
            <w:tcW w:w="8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22*80*58（L*W*H整体尺寸，单位mm）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4A4A4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其它</w:t>
            </w:r>
          </w:p>
        </w:tc>
        <w:tc>
          <w:tcPr>
            <w:tcW w:w="8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重量</w:t>
            </w:r>
          </w:p>
        </w:tc>
        <w:tc>
          <w:tcPr>
            <w:tcW w:w="8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57.5g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  <w:t>&lt;注&gt;Modbus RTU不支持7位数据位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</w:pPr>
      <w:bookmarkStart w:id="59" w:name="_Toc4125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三、产品规格</w:t>
      </w:r>
      <w:bookmarkEnd w:id="59"/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/>
          <w:lang w:val="en-US" w:eastAsia="zh-CN"/>
        </w:rPr>
      </w:pPr>
      <w:bookmarkStart w:id="60" w:name="_Toc28052"/>
      <w:bookmarkStart w:id="61" w:name="_Toc15556"/>
      <w:bookmarkStart w:id="62" w:name="_Toc4479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3.1、安装尺寸</w:t>
      </w:r>
      <w:bookmarkEnd w:id="60"/>
      <w:bookmarkEnd w:id="61"/>
      <w:bookmarkEnd w:id="62"/>
    </w:p>
    <w:p>
      <w:pPr>
        <w:jc w:val="center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图3.1  E485-B04尺寸图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/>
          <w:lang w:val="en-US" w:eastAsia="zh-CN"/>
        </w:rPr>
      </w:pPr>
      <w:bookmarkStart w:id="63" w:name="_Toc19455"/>
      <w:bookmarkStart w:id="64" w:name="_Toc29212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3.2、接口说明</w:t>
      </w:r>
      <w:bookmarkEnd w:id="63"/>
      <w:bookmarkEnd w:id="64"/>
      <w:r>
        <w:rPr>
          <w:rFonts w:hint="eastAsia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textAlignment w:val="auto"/>
        <w:rPr>
          <w:rFonts w:hint="eastAsia" w:ascii="思源黑体 CN Normal" w:hAnsi="思源黑体 CN Normal" w:eastAsia="思源黑体 CN Normal" w:cs="思源黑体 CN Normal"/>
          <w:sz w:val="24"/>
          <w:szCs w:val="24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4"/>
          <w:szCs w:val="24"/>
          <w:lang w:val="en-US" w:eastAsia="zh-CN"/>
        </w:rPr>
        <w:t>端子定义</w:t>
      </w:r>
    </w:p>
    <w:tbl>
      <w:tblPr>
        <w:tblStyle w:val="12"/>
        <w:tblW w:w="82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100"/>
        <w:gridCol w:w="5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  <w:t>功能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  <w:t>名称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电源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24V+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24V直流供电电源正极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0V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24V直流供电电源负极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RS485串口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A0+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RS485通道1串口A+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B0-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RS485通道1串口B-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A1+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RS485通道2串口A+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B1-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RS485通道2串口B-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A2+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RS485通道3串口A+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B2-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RS485通道3串口B-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A3+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RS485通道4串口A+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B3-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RS485通道4串口B-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按键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Reset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复位按键，操作参考章节5.9内容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网口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Ethernet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10/100Mbps RJ45网口母座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</w:pPr>
    </w:p>
    <w:p>
      <w:pPr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textAlignment w:val="auto"/>
        <w:rPr>
          <w:rFonts w:hint="eastAsia" w:ascii="思源黑体 CN Normal" w:hAnsi="思源黑体 CN Normal" w:eastAsia="思源黑体 CN Normal" w:cs="思源黑体 CN Normal"/>
          <w:sz w:val="24"/>
          <w:szCs w:val="24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4"/>
          <w:szCs w:val="24"/>
          <w:lang w:val="en-US" w:eastAsia="zh-CN"/>
        </w:rPr>
        <w:t>指示灯</w:t>
      </w:r>
    </w:p>
    <w:tbl>
      <w:tblPr>
        <w:tblStyle w:val="12"/>
        <w:tblpPr w:leftFromText="180" w:rightFromText="180" w:vertAnchor="text" w:horzAnchor="page" w:tblpXSpec="center" w:tblpY="226"/>
        <w:tblOverlap w:val="never"/>
        <w:tblW w:w="8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100"/>
        <w:gridCol w:w="5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  <w:t>功能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  <w:t>名称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/>
                <w:bCs/>
                <w:szCs w:val="20"/>
                <w:lang w:val="en-US" w:eastAsia="zh-CN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电源指示灯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PWR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常亮：表示供电正常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系统指示灯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SYS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以0.5秒亮，0.5秒灭交替闪烁：模块正常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闪烁变常亮：通过按键完成复位，参考章节5.9内容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RS485通道1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通讯指示灯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CH0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闪烁：RS485通道1串口收发数据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熄灭：RS485通道1未收发数据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36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RS485通道2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通讯指示灯</w:t>
            </w:r>
          </w:p>
        </w:tc>
        <w:tc>
          <w:tcPr>
            <w:tcW w:w="11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CH1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闪烁：RS485通道2串口收发数据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熄灭：RS485通道2未收发数据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RS485通道3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通讯指示灯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CH2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闪烁：RS485通道3串口收发数据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熄灭：RS485通道3未收发数据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3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RS485通道4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通讯指示灯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CH3</w:t>
            </w:r>
          </w:p>
        </w:tc>
        <w:tc>
          <w:tcPr>
            <w:tcW w:w="5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闪烁：RS485通道4串口收发数据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420" w:leftChars="0" w:hanging="420" w:firstLineChars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熄灭：RS485通道4未收发数据</w:t>
            </w:r>
          </w:p>
        </w:tc>
      </w:tr>
    </w:tbl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both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420" w:firstLineChars="0"/>
        <w:jc w:val="both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420" w:firstLineChars="0"/>
        <w:jc w:val="both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</w:pPr>
      <w:bookmarkStart w:id="65" w:name="_Toc2920"/>
      <w:bookmarkStart w:id="66" w:name="_Toc17708"/>
      <w:bookmarkStart w:id="67" w:name="_Toc6119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四、</w:t>
      </w:r>
      <w:bookmarkEnd w:id="65"/>
      <w:bookmarkEnd w:id="66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参数设置</w:t>
      </w:r>
      <w:bookmarkEnd w:id="67"/>
    </w:p>
    <w:p>
      <w:pPr>
        <w:bidi w:val="0"/>
        <w:rPr>
          <w:rFonts w:hint="eastAsia" w:ascii="思源黑体 CN Normal" w:hAnsi="思源黑体 CN Normal" w:eastAsia="思源黑体 CN Normal" w:cs="思源黑体 CN Normal"/>
          <w:b/>
          <w:bCs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b/>
          <w:bCs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1）网页登录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登录时在浏览器输入(模块)IP(默认192.168.1.66) 进入登录页，然后输入账号和密码(默认均666666)方可登录进入设置参数的网页。</w:t>
      </w:r>
    </w:p>
    <w:p>
      <w:pPr>
        <w:bidi w:val="0"/>
        <w:rPr>
          <w:rFonts w:hint="eastAsia" w:ascii="思源黑体 CN Normal" w:hAnsi="思源黑体 CN Normal" w:eastAsia="思源黑体 CN Normal" w:cs="思源黑体 CN Normal"/>
          <w:b/>
          <w:bCs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b/>
          <w:bCs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2）参数设置</w:t>
      </w:r>
    </w:p>
    <w:p>
      <w:pPr>
        <w:ind w:firstLine="420" w:firstLineChars="0"/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模块参数主要分为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eastAsia="zh-CN"/>
        </w:rPr>
        <w:t>通用参数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和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eastAsia="zh-CN"/>
        </w:rPr>
        <w:t>专用参数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，通用参数对多个或所有工作模式均有效，专用参数仅在指定工作模式中有效。</w:t>
      </w:r>
    </w:p>
    <w:p>
      <w:pPr>
        <w:ind w:firstLine="420" w:firstLineChars="0"/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首页中所有参数，及通道配置网页中的串口波特率、串口格式、工作模式、串口合包时间、串口延时发送时间、本机端口号、目标端口号、目标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IP网口超时时间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都是通用参数；通道配置页剩余的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RTU主站参数、高级TCP转RTU模式参数都是专用参数。选填好参数后点击保存按钮，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每个网页仅保存当前网页参数。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0"/>
        <w:textAlignment w:val="auto"/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要使参数生效，可将模块断电重启模块，或切换“重启设备”网页点击重启按钮使修改参数生效。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68" w:name="_Toc9549"/>
      <w:bookmarkStart w:id="69" w:name="_Toc6281"/>
      <w:bookmarkStart w:id="70" w:name="_Toc11729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五、</w:t>
      </w:r>
      <w:bookmarkEnd w:id="68"/>
      <w:bookmarkEnd w:id="69"/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产品功能</w:t>
      </w:r>
      <w:bookmarkEnd w:id="70"/>
      <w:bookmarkStart w:id="71" w:name="_Toc21535"/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2" w:name="_Toc31650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5.1、</w:t>
      </w:r>
      <w:bookmarkEnd w:id="71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通用TCP转RTU</w:t>
      </w:r>
      <w:bookmarkEnd w:id="72"/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模块作为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Server（服务器），将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接收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自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网口侧Modbus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Client（客户端）的请求报文转换为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RTU请求报文，通过串口发送给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RTU从站，然后将对应从站回应的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Modbus RTU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报文转换为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TCP报文，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发送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给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Client。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适用于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Modbus TCP Client网口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设备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与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Modbus RTU从站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串口设备通讯的场合。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7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3938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3938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Modbus TCP Client(客户端)</w:t>
            </w:r>
          </w:p>
        </w:tc>
        <w:tc>
          <w:tcPr>
            <w:tcW w:w="11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39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Modbus RTU从站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通用TCP转RTU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(模块)通道1本机端口号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默认502(最大支持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(模块)通道2本机端口号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默认503(最大支持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(模块)通道3本机端口号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默认504(最大支持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(模块)通道4本机端口号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默认505(最大支持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默认波特率9600、数据位8、停止位1、无校验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网口超时时间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默认1000ms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3" w:name="_Toc13103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5.2、RTU转TCP</w:t>
      </w:r>
      <w:bookmarkEnd w:id="73"/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模块作为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TCP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Client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（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客户端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），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主动连接网口侧的Modbus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 Server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（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服务器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）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，模块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收到Modbus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RTU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主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站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的报文后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，转换为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TCP报文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并发送给Modbus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 Server，然后在收到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Modbus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 Server响应报文后转为Modbus RTU报文，发送给Modbus RTU主站。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适用于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Modbus RTU主站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设备与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Modbus TCP Server网口设备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通讯的场合。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89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566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5669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1路Modbus TCP Server</w:t>
            </w:r>
          </w:p>
        </w:tc>
        <w:tc>
          <w:tcPr>
            <w:tcW w:w="11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1路Modbus RTU主站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RTU转TCP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目标IP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默认192.168.1.250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目标端口号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通道1默认602，通道2默认603，通道3默认604，通道4默认605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默认波特率9600、数据位8、停止位1、无校验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bookmarkStart w:id="74" w:name="_Toc12772"/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5" w:name="_Toc31354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5.3、</w:t>
      </w:r>
      <w:bookmarkEnd w:id="74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Server透传</w:t>
      </w:r>
      <w:bookmarkEnd w:id="75"/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模块作为TCP Server（服务器），将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接收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自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网口侧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的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1路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Client（客户端）的报文，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透传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给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串口设备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同样串口设备接收的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报文将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透传给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Client。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 Client网口设备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需要与串口设备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数据透传的场合。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7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3925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3925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1路TCP Client</w:t>
            </w:r>
          </w:p>
        </w:tc>
        <w:tc>
          <w:tcPr>
            <w:tcW w:w="11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39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串口设备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Server透传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(模块)通道1本机端口号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默认502(最大支持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(模块)通道2本机端口号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默认503(最大支持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(模块)通道3本机端口号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默认504(最大支持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(模块)通道4本机端口号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默认505(最大支持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默认波特率9600、数据位8、无校验、停止位1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39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6" w:name="_Toc10228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5.4、普通Client透传</w:t>
      </w:r>
      <w:bookmarkEnd w:id="76"/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模块作为TCP Client（客户端），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主动连接网口侧的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Server（服务器）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，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将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模块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收到的报文，透传给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同样接收自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的报文将透传给串口设备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串口设备需要与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 Server网口设备数据透传的场合。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89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566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5669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1路TCP Server</w:t>
            </w:r>
          </w:p>
        </w:tc>
        <w:tc>
          <w:tcPr>
            <w:tcW w:w="11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5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串口设备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普通Client透传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目标IP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默认192.168.1.250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目标端口号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通道1默认602，通道2默认603，通道3默认604，通道4默认605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默认波特率9600、数据位8、停止位1、无校验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5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7" w:name="_Toc28131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5.5、自定义Client透传</w:t>
      </w:r>
      <w:bookmarkEnd w:id="77"/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模块作为TCP Client（客户端），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主动连接网口侧的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Server（服务器）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，除了拥有5.4章节的“普通透传”功能，本功能新增自定义报头文、报文尾及网络心跳包功能：</w:t>
      </w:r>
    </w:p>
    <w:p>
      <w:pPr>
        <w:bidi w:val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1）自定义报文头、报文尾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用户通过网页自定义报文头与报文尾后，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将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使模块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收到的报文加上报文头和报文尾，发送给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。而接收自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的报文，首先校验报文中是否含有与用户自定义一致的报文头、报文尾，假如均一致，则将报文过滤报文头、报文尾后的数据发送给串口设备；假如报文头或报文尾校验不一致，则无任何数据发送给串口设备。</w:t>
      </w:r>
    </w:p>
    <w:p>
      <w:pPr>
        <w:bidi w:val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2）网络心跳包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用户自定义心跳报文后，模块在连接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服务器时发出第一条心跳报文，并以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60秒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固定间隔向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发送心跳报文，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使用于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TCP Server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判断与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 xml:space="preserve">TCP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Client连接是否正常。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串口与网口设备数据透传的同时，需要报头文（尾）让服务器识别数据来源，或者通过心跳包机制检测服务器与客户端网络通讯连接的场合。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9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5"/>
        <w:gridCol w:w="579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5799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1路TCP Server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串口设备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自定义Client透传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目标IP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默认192.168.1.250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目标端口号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通道1默认602，通道2默认603，通道3默认604，通道4默认605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串口通讯参数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默认9600、8位数据、无校验、1位停止位（可配置）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报文头、报文尾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默认无内容，表示禁止该功能；以16进制字符串配置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报文头、报文尾长度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最大各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vertAlign w:val="baseline"/>
                <w:lang w:val="en-US" w:eastAsia="zh-CN"/>
              </w:rPr>
              <w:t>4个</w:t>
            </w: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ASCII字符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固定参数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心跳包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默认无内容，表示禁止该功能；以16进制字符串配置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心跳包接收方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网口端TCP Server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心跳包长度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最大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vertAlign w:val="baseline"/>
                <w:lang w:val="en-US" w:eastAsia="zh-CN"/>
              </w:rPr>
              <w:t>50个</w:t>
            </w: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ASCII字符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固定参数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心跳包间隔</w:t>
            </w:r>
          </w:p>
        </w:tc>
        <w:tc>
          <w:tcPr>
            <w:tcW w:w="5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60秒（固定值）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固定参数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5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5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5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使用案例</w:t>
      </w:r>
    </w:p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1）案例情况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案例通道1心跳包、报文头、报文尾内容如下。</w:t>
      </w:r>
    </w:p>
    <w:tbl>
      <w:tblPr>
        <w:tblStyle w:val="13"/>
        <w:tblW w:w="5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2041"/>
        <w:gridCol w:w="2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22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ASCII形式</w:t>
            </w:r>
          </w:p>
        </w:tc>
        <w:tc>
          <w:tcPr>
            <w:tcW w:w="2438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16进制形式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心跳包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Heat Beat(含空格)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486561642042656174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报文头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Head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48656164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报文尾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End</w:t>
            </w:r>
          </w:p>
        </w:tc>
        <w:tc>
          <w:tcPr>
            <w:tcW w:w="2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456E64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  <w:t>&lt;注&gt;ASCII字符的16进制形式转换可参考附录A</w:t>
      </w:r>
    </w:p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2）网页配置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根据案例情况通道1网页配置如下。</w:t>
      </w:r>
    </w:p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3）心跳包示例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服务器接收案例心跳包示例如下。</w:t>
      </w:r>
    </w:p>
    <w:p>
      <w:pPr>
        <w:bidi w:val="0"/>
        <w:jc w:val="center"/>
      </w:pPr>
      <w:r>
        <w:drawing>
          <wp:inline distT="0" distB="0" distL="114300" distR="114300">
            <wp:extent cx="2974975" cy="3741420"/>
            <wp:effectExtent l="0" t="0" r="15875" b="11430"/>
            <wp:docPr id="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4975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4）报文头、报文尾示例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设置报文头、报文尾后，服务器与串口端发送、接收数据示例如下。</w:t>
      </w:r>
    </w:p>
    <w:p>
      <w:pPr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813425" cy="3938270"/>
            <wp:effectExtent l="0" t="0" r="15875" b="5080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3425" cy="393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8" w:name="_Toc26540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5.6、自分包型TCP转RTU</w:t>
      </w:r>
      <w:bookmarkEnd w:id="78"/>
    </w:p>
    <w:p>
      <w:pPr>
        <w:bidi w:val="0"/>
        <w:jc w:val="center"/>
      </w:pPr>
      <w:r>
        <w:drawing>
          <wp:inline distT="0" distB="0" distL="114300" distR="114300">
            <wp:extent cx="5419090" cy="1721485"/>
            <wp:effectExtent l="0" t="0" r="10160" b="12065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909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模块作为Modbus TCP Server（服务器），除了拥有5.1章节的“通用TCP转RTU”功能，本功能通过网页设置的寄存器数量，将Modbus TCP Client发出报文中的站号与地址，自动计算对应的RTU侧的站号与地址，然后将Modbus TCP报文转为对应的Modbus RTU从站的报文发送到总线，并将对应从站应答报文转为Modbus TCP报文，发送给Modbus TCP Client。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使用方式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使用方式1：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以太网端只需建立1个连接，每次读相同类型的寄存器，MODBUS 主站发出1条MODBUS TCP报文，模块则根据网页配置的寄存器个数，对MODBUS TCP报文进行拆分，轮询读写从站，读写完成后，在合成一包MODBUS TCP数据应答到主站；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MODBUS 主站要读写的每个从站的寄存器个数（对应网页配置的寄存器个数），记为SR；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MODBUS 主站要读写的从站的个数，记为SN；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MODBUS 主站要读写的总寄存器个数，记为MN；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那么：MN = SR * SN;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特别说明1：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这种方式下，每个从站的站号需要连续，不能是1号站，3号站；必须是1号站，2号站，3号站。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使用方式2：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以太网端只需建立1个连接，MODBUS 主站保持相同站号，每次读相同类型的寄存器，但是起始地址不同，模块则根据网页配置的寄存器个数，对MODBUS TCP报文的起始地址进行判断站号（主站预读写的从站站号=起始地址不同 </w:t>
      </w:r>
      <w:r>
        <w:rPr>
          <w:rFonts w:hint="default" w:ascii="Arial" w:hAnsi="Arial" w:eastAsia="微软雅黑" w:cs="Arial"/>
          <w:sz w:val="21"/>
          <w:szCs w:val="21"/>
          <w:lang w:val="en-US" w:eastAsia="zh-CN"/>
        </w:rPr>
        <w:t>÷</w:t>
      </w:r>
      <w:r>
        <w:rPr>
          <w:rFonts w:hint="eastAsia" w:ascii="Arial" w:hAnsi="Arial" w:eastAsia="微软雅黑" w:cs="Arial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网页配置的寄存器个数）进行拆分，读写从站，读写完成后，转为MODBUS TCP数据应答到主站；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特别说明2：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这种方式下，读写每个从站的站号可以连续，但是需要主站端分起始地址去逐个轮询每个从站，只是站号不变而已。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与通用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TCP转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Modbus 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  <w:t>RTU的功能相比，主要应用于用户TCP客户端通讯中无法修改站号的场合，如WINCC。与 RTU主站的功能相比，高级功能更关注从站的寄存器数量的最大值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73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3938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16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3938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Modbus TCP Client(客户端)</w:t>
            </w:r>
          </w:p>
        </w:tc>
        <w:tc>
          <w:tcPr>
            <w:tcW w:w="11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39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Modbus RTU从站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高级TCP转RTU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(模块)通道1本机端口号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默认502(最大支持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(模块)通道2本机端口号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默认503(最大支持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(模块)通道3本机端口号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默认504(最大支持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(模块)通道4本机端口号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默认505(最大支持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1路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默认波特率9600、数据位8、停止位1、无校验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个数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0个(线圈、离散、保持/输入寄存器个数)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网口超时时间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默认1000ms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C00000"/>
          <w:sz w:val="24"/>
          <w:szCs w:val="24"/>
          <w:lang w:val="en-US" w:eastAsia="zh-CN" w:bidi="ar-SA"/>
        </w:rPr>
        <w:t>方式2的具体转换规则说明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假设网页中个数为X，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FF0000"/>
          <w:sz w:val="21"/>
          <w:szCs w:val="21"/>
          <w:lang w:val="en-US" w:eastAsia="zh-CN"/>
        </w:rPr>
        <w:t>最小地址基准值为Y(报文中为0,触摸屏、组态等一般为1)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，Modbus TCP侧读写站号为A、寄存器地址为B、长度为C，Modbus RTU侧站号为N、地址为R,长度为L，则转换规则如下：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1）若要保证所有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RTU从站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寄存器都能被访问，则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X应取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none"/>
          <w:lang w:val="en-US" w:eastAsia="zh-CN"/>
        </w:rPr>
        <w:t>每个从站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highlight w:val="magenta"/>
          <w:u w:val="thick"/>
          <w:lang w:val="en-US" w:eastAsia="zh-CN"/>
          <w14:textFill>
            <w14:solidFill>
              <w14:schemeClr w14:val="tx1"/>
            </w14:solidFill>
          </w14:textFill>
        </w:rPr>
        <w:t>(R+L-Y)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最大值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，例如1号RTU从站线圈报文地址为0，可访问长度为5，2号从站线圈报文地址为8，可访问长度为3，则X应设为11；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2）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站号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①Modbus TCP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站号A：要保证RTU侧最小站号从站能被访问，TCP站号应&lt;=RTU最小站号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，例如RTU侧从站中最小站号为3，则TCP侧站号&lt;=3；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②Modbus RTU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站号N：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highlight w:val="magenta"/>
          <w:u w:val="thick"/>
          <w:lang w:val="en-US" w:eastAsia="zh-CN"/>
        </w:rPr>
        <w:t>N=A+(B-Y)/X(取整)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，例如A=1、B=8、Y=0、X=7，则N=1+8/7(取整1)=2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3）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地址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①已知RTU信息，计算TCP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地址b：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highlight w:val="magenta"/>
          <w:u w:val="thick"/>
          <w:lang w:val="en-US" w:eastAsia="zh-CN"/>
        </w:rPr>
        <w:t>B=(N-A)*X+R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，例如A=9,N=1,R=1、X=5，则B=(9-1)*5+1=41；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②已知TCP信息，计算 RTU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地址R：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highlight w:val="magenta"/>
          <w:u w:val="thick"/>
          <w:lang w:val="en-US" w:eastAsia="zh-CN"/>
        </w:rPr>
        <w:t>R=B-(A-N)*X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，例如A=9,N=1,B=41、X=5，则R=41-(9-1)*5=1；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4）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长度：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L=C，且Modbus TCP长度必须满足C&lt;=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highlight w:val="magenta"/>
          <w:u w:val="thick"/>
          <w:lang w:val="en-US" w:eastAsia="zh-CN"/>
        </w:rPr>
        <w:t>(X-(B%X-Y))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，例如X、Y、B分别等于7、8、0，则C&lt;=(7-(8%7-0)),即C&lt;=3；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5）其它：功能码、写入数据相等。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</w:pPr>
      <w:r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  <w:t>ModScan转换示例(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u w:val="thick"/>
          <w:lang w:val="en-US" w:eastAsia="zh-CN" w:bidi="ar-SA"/>
        </w:rPr>
        <w:t>最小地址以1为基准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  <w:t>)</w:t>
      </w:r>
    </w:p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1）从站情况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例如此时有3个RTU从站连接模块通道1，3个从站的寄存器情况如下：</w:t>
      </w:r>
    </w:p>
    <w:tbl>
      <w:tblPr>
        <w:tblStyle w:val="12"/>
        <w:tblW w:w="73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094"/>
        <w:gridCol w:w="1219"/>
        <w:gridCol w:w="850"/>
        <w:gridCol w:w="850"/>
        <w:gridCol w:w="850"/>
        <w:gridCol w:w="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410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 xml:space="preserve">RTU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1号站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 xml:space="preserve">RTU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3号站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 xml:space="preserve">RTU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9号站</w:t>
            </w: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应设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79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线圈</w:t>
            </w:r>
          </w:p>
        </w:tc>
        <w:tc>
          <w:tcPr>
            <w:tcW w:w="20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RTU侧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需访问长度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7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起始地址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00001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00001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00001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以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站号1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访问的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1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00011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00041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以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站号2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访问的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1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5"/>
                <w:szCs w:val="15"/>
                <w:lang w:val="en-US" w:eastAsia="zh-CN"/>
              </w:rPr>
              <w:t>无法访问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00006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00036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以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站号3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访问的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1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5"/>
                <w:szCs w:val="15"/>
                <w:lang w:val="en-US" w:eastAsia="zh-CN"/>
              </w:rPr>
              <w:t>无法访问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00031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离散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输入</w:t>
            </w:r>
          </w:p>
        </w:tc>
        <w:tc>
          <w:tcPr>
            <w:tcW w:w="20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RTU侧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需访问长度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7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起始地址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10001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10009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10002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以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站号1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访问的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1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10001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10031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10090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以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站号2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访问的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1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5"/>
                <w:szCs w:val="15"/>
                <w:lang w:val="en-US" w:eastAsia="zh-CN"/>
              </w:rPr>
              <w:t>无法访问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10020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10079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79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以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站号3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访问的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121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5"/>
                <w:szCs w:val="15"/>
                <w:lang w:val="en-US" w:eastAsia="zh-CN"/>
              </w:rPr>
              <w:t>无法访问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10009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10068</w:t>
            </w: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</w:p>
        </w:tc>
      </w:tr>
    </w:tbl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2）网页配置</w:t>
      </w:r>
    </w:p>
    <w:p>
      <w:pPr>
        <w:ind w:firstLine="420" w:firstLineChars="0"/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首先设置通用参数如下图所示。</w:t>
      </w:r>
    </w:p>
    <w:p>
      <w:p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根据案例情况，高级TCP转RTU模式参数配置如下</w:t>
      </w:r>
    </w:p>
    <w:p>
      <w:pPr>
        <w:bidi w:val="0"/>
        <w:jc w:val="center"/>
      </w:pPr>
      <w:r>
        <w:drawing>
          <wp:inline distT="0" distB="0" distL="114300" distR="114300">
            <wp:extent cx="6181090" cy="2748915"/>
            <wp:effectExtent l="0" t="0" r="6350" b="952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3）ModScan示例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示例仅以ModScan站号1为例，ModScan作为Modbus TCP Client连接RS485通道设置如下图所示。</w:t>
      </w:r>
    </w:p>
    <w:p>
      <w:pPr>
        <w:bidi w:val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876800" cy="3924300"/>
            <wp:effectExtent l="0" t="0" r="0" b="0"/>
            <wp:docPr id="26" name="图片 26" descr="企业微信截图_17800596565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企业微信截图_1780059656565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jc w:val="center"/>
        <w:rPr>
          <w:rFonts w:hint="eastAsia" w:eastAsia="宋体"/>
          <w:lang w:eastAsia="zh-CN"/>
        </w:rPr>
      </w:pPr>
    </w:p>
    <w:p>
      <w:pPr>
        <w:bidi w:val="0"/>
        <w:jc w:val="center"/>
        <w:rPr>
          <w:rFonts w:hint="eastAsia" w:eastAsia="宋体"/>
          <w:lang w:eastAsia="zh-CN"/>
        </w:rPr>
      </w:pPr>
    </w:p>
    <w:p>
      <w:pPr>
        <w:bidi w:val="0"/>
        <w:jc w:val="center"/>
        <w:rPr>
          <w:rFonts w:hint="eastAsia" w:eastAsia="宋体"/>
          <w:lang w:eastAsia="zh-CN"/>
        </w:rPr>
      </w:pPr>
    </w:p>
    <w:p>
      <w:pPr>
        <w:bidi w:val="0"/>
        <w:jc w:val="center"/>
      </w:pPr>
    </w:p>
    <w:p>
      <w:pPr>
        <w:bidi w:val="0"/>
        <w:jc w:val="both"/>
      </w:pPr>
    </w:p>
    <w:p>
      <w:pPr>
        <w:bidi w:val="0"/>
        <w:ind w:firstLine="420" w:firstLineChars="0"/>
        <w:jc w:val="both"/>
        <w:rPr>
          <w:rFonts w:hint="eastAsia" w:eastAsia="思源黑体 CN Normal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下图为Modbus TCP Client以站号1访问RTU1号站、3号站、9号站的线圈的展示。</w:t>
      </w:r>
    </w:p>
    <w:p>
      <w:pPr>
        <w:bidi w:val="0"/>
        <w:jc w:val="center"/>
      </w:pPr>
      <w:r>
        <w:drawing>
          <wp:inline distT="0" distB="0" distL="114300" distR="114300">
            <wp:extent cx="5189220" cy="4289425"/>
            <wp:effectExtent l="0" t="0" r="11430" b="1587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428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20" w:firstLineChars="0"/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下图为Modbus Client以站号1访问RTU3号站的离散输入的展示。</w:t>
      </w:r>
    </w:p>
    <w:p>
      <w:pPr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724275" cy="3486150"/>
            <wp:effectExtent l="0" t="0" r="9525" b="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</w:pPr>
      <w:r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  <w:t>报文转换示例</w:t>
      </w:r>
    </w:p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1）读示例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以读线圈为例，假设网页中线圈元件个数为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7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right" w:pos="5786"/>
        </w:tabs>
        <w:ind w:leftChars="0" w:firstLine="420" w:firstLineChars="200"/>
        <w:jc w:val="left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TCP请求报文（16进制）：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lightGray"/>
          <w:lang w:val="en-US" w:eastAsia="zh-CN"/>
        </w:rPr>
        <w:t xml:space="preserve"> 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FF0000"/>
          <w:sz w:val="21"/>
          <w:szCs w:val="21"/>
          <w:highlight w:val="lightGray"/>
          <w:lang w:val="en-US" w:eastAsia="zh-CN"/>
        </w:rPr>
        <w:t xml:space="preserve">00 01 00 00 00 06 01 01 00 08 00 06(本例地址08，则长度应&lt;=6) 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，则</w:t>
      </w:r>
    </w:p>
    <w:tbl>
      <w:tblPr>
        <w:tblStyle w:val="12"/>
        <w:tblW w:w="6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680"/>
        <w:gridCol w:w="680"/>
        <w:gridCol w:w="680"/>
        <w:gridCol w:w="680"/>
        <w:gridCol w:w="794"/>
        <w:gridCol w:w="680"/>
        <w:gridCol w:w="680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协议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标识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站号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功能码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地址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校验码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00 00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00 06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00 08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00 06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RTU侧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00 01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00 06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8000"/>
                <w:sz w:val="18"/>
                <w:szCs w:val="24"/>
                <w:lang w:val="zh-CN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zh-CN" w:eastAsia="zh-CN" w:bidi="ar-SA"/>
              </w:rPr>
              <w:t>ED FB</w:t>
            </w:r>
          </w:p>
        </w:tc>
      </w:tr>
    </w:tbl>
    <w:p>
      <w:pPr>
        <w:numPr>
          <w:ilvl w:val="0"/>
          <w:numId w:val="0"/>
        </w:numPr>
        <w:tabs>
          <w:tab w:val="right" w:pos="5786"/>
        </w:tabs>
        <w:ind w:leftChars="0" w:firstLine="420" w:firstLineChars="200"/>
        <w:jc w:val="left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假设RTU回应报文（16进制）：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lightGray"/>
          <w:lang w:val="en-US" w:eastAsia="zh-CN"/>
        </w:rPr>
        <w:t xml:space="preserve"> 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FF0000"/>
          <w:sz w:val="21"/>
          <w:szCs w:val="21"/>
          <w:highlight w:val="lightGray"/>
          <w:lang w:val="en-US" w:eastAsia="zh-CN"/>
        </w:rPr>
        <w:t>02 01 01 05 91 CF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lightGray"/>
          <w:lang w:val="en-US" w:eastAsia="zh-CN"/>
        </w:rPr>
        <w:t xml:space="preserve"> 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，则</w:t>
      </w:r>
    </w:p>
    <w:tbl>
      <w:tblPr>
        <w:tblStyle w:val="12"/>
        <w:tblW w:w="6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680"/>
        <w:gridCol w:w="680"/>
        <w:gridCol w:w="680"/>
        <w:gridCol w:w="680"/>
        <w:gridCol w:w="794"/>
        <w:gridCol w:w="794"/>
        <w:gridCol w:w="680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协议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标识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站号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功能码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数据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字节数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数据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校验码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RTU侧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01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05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8000"/>
                <w:sz w:val="18"/>
                <w:szCs w:val="24"/>
                <w:lang w:val="zh-CN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91 CF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00 00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00 04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01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05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</w:tr>
    </w:tbl>
    <w:p>
      <w:pP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2）写示例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以写多个保持寄存器为例，假设网页中保持寄存器个数为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5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right" w:pos="5786"/>
        </w:tabs>
        <w:ind w:leftChars="0" w:firstLine="420" w:firstLineChars="200"/>
        <w:jc w:val="left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TCP请求报文（16进制）：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lightGray"/>
          <w:lang w:val="en-US" w:eastAsia="zh-CN"/>
        </w:rPr>
        <w:t xml:space="preserve"> 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FF0000"/>
          <w:sz w:val="21"/>
          <w:szCs w:val="21"/>
          <w:highlight w:val="lightGray"/>
          <w:lang w:val="en-US" w:eastAsia="zh-CN"/>
        </w:rPr>
        <w:t xml:space="preserve">00 01 00 00 00 0D 02 10 00 08 00 02 04 12 34 56 78(本例地址08，则长度应&lt;=2)  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，则</w:t>
      </w:r>
    </w:p>
    <w:tbl>
      <w:tblPr>
        <w:tblStyle w:val="12"/>
        <w:tblW w:w="8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680"/>
        <w:gridCol w:w="680"/>
        <w:gridCol w:w="680"/>
        <w:gridCol w:w="680"/>
        <w:gridCol w:w="794"/>
        <w:gridCol w:w="680"/>
        <w:gridCol w:w="680"/>
        <w:gridCol w:w="794"/>
        <w:gridCol w:w="1134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协议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标识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站号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功能码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地址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数据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字节数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写入数据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校验码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00 00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0D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00 08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12 34 56 78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RTU侧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03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00 03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04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12 34 56 78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C3 36</w:t>
            </w:r>
          </w:p>
        </w:tc>
      </w:tr>
    </w:tbl>
    <w:p>
      <w:pPr>
        <w:numPr>
          <w:ilvl w:val="0"/>
          <w:numId w:val="0"/>
        </w:numPr>
        <w:tabs>
          <w:tab w:val="right" w:pos="5786"/>
        </w:tabs>
        <w:ind w:leftChars="0" w:firstLine="420" w:firstLineChars="200"/>
        <w:jc w:val="left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RTU回应报文（16进制）：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lightGray"/>
          <w:lang w:val="en-US" w:eastAsia="zh-CN"/>
        </w:rPr>
        <w:t xml:space="preserve"> </w:t>
      </w:r>
      <w:r>
        <w:rPr>
          <w:rFonts w:hint="eastAsia" w:ascii="思源黑体 CN Normal" w:hAnsi="思源黑体 CN Normal" w:eastAsia="思源黑体 CN Normal" w:cs="思源黑体 CN Normal"/>
          <w:b/>
          <w:bCs/>
          <w:color w:val="FF0000"/>
          <w:sz w:val="21"/>
          <w:szCs w:val="21"/>
          <w:highlight w:val="lightGray"/>
          <w:lang w:val="en-US" w:eastAsia="zh-CN"/>
        </w:rPr>
        <w:t>03 10 00 03 00 02 B0 2A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highlight w:val="lightGray"/>
          <w:lang w:val="en-US" w:eastAsia="zh-CN"/>
        </w:rPr>
        <w:t xml:space="preserve"> 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，则</w:t>
      </w:r>
    </w:p>
    <w:tbl>
      <w:tblPr>
        <w:tblStyle w:val="12"/>
        <w:tblW w:w="6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680"/>
        <w:gridCol w:w="680"/>
        <w:gridCol w:w="680"/>
        <w:gridCol w:w="680"/>
        <w:gridCol w:w="794"/>
        <w:gridCol w:w="794"/>
        <w:gridCol w:w="680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协议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标识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报文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站号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功能码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地址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长度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b/>
                <w:bCs/>
                <w:sz w:val="18"/>
                <w:szCs w:val="18"/>
                <w:lang w:val="en-US" w:eastAsia="zh-CN"/>
              </w:rPr>
              <w:t>校验码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RTU侧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无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03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00 03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8000"/>
                <w:sz w:val="18"/>
                <w:szCs w:val="24"/>
                <w:lang w:val="zh-CN"/>
              </w:rPr>
              <w:t xml:space="preserve"> 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B0 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TCP侧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00 01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00 00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lang w:val="en-US" w:eastAsia="zh-CN"/>
              </w:rPr>
              <w:t>00 06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lang w:val="en-US" w:eastAsia="zh-CN"/>
              </w:rPr>
              <w:t>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lang w:val="en-US" w:eastAsia="zh-CN" w:bidi="ar-SA"/>
              </w:rPr>
              <w:t>00 08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00 02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zh-CN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无</w:t>
            </w:r>
          </w:p>
        </w:tc>
      </w:tr>
    </w:tbl>
    <w:p>
      <w:pPr>
        <w:bidi w:val="0"/>
      </w:pP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79" w:name="_Toc13183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5.7、RTU主站</w:t>
      </w:r>
      <w:bookmarkEnd w:id="79"/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6183630" cy="3336925"/>
            <wp:effectExtent l="0" t="0" r="7620" b="1587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模块作为Modbus TCP Server（服务器），模块串口按网页设置轮询最大6个从站，将所有从站每种类型的寄存器组合成区域连续的映射寄存器，这样网口侧的Modbus TCP Client（客户端）只需一个站号就可读写所有寄存器。同时串口、网口两端异步并行处理，可无视串口端响应缓慢，快速响应网口。</w:t>
      </w:r>
    </w:p>
    <w:p>
      <w:pPr>
        <w:bidi w:val="0"/>
        <w:ind w:firstLine="420" w:firstLineChars="0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四路RS485可以同时配置为RTU从站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具备存储型TCP转RTU自动轮询使TCP侧快速响应，以及高级TCP转RTU一个站号访问所有从站的优点，但只能固定访问配置好地址和数量的6个从站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11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7839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1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7839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Modbus TCP Client(客户端)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串口连接对象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1路Modbus RTU主站</w:t>
            </w:r>
          </w:p>
        </w:tc>
        <w:tc>
          <w:tcPr>
            <w:tcW w:w="113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RTU主站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(模块)通道1本机端口号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默认502(最大支持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(模块)通道2本机端口号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默认503(最大支持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(模块)通道3本机端口号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默认504(最大支持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(模块)通道4本机端口号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默认505(最大支持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默认波特率9600、数据位8、停止位1、无校验</w:t>
            </w: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RTU发送间隔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串口端收到从站回应后，发送下一条报文的间隔时间，默认1ms(可配置)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可选参数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RTU超时时间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串口端向从站发送请求后,超过超时时间没收到回应后发送下一条请求，默认1000ms(可配置)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RTU重试次数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串口端向从站发送请求后,超过超时时间没收到回应，继续发同一条请求的次数，默认3(可配置)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站号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每个站站号可设置1-255范围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寄存器地址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每个站每种寄存器地址可设置0-65535范围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地址长度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每个站线圈、离散输入可设置0-64个，保持寄存器、输入寄存器可设置0-16个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78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</w:pPr>
      <w:r>
        <w:rPr>
          <w:rFonts w:hint="eastAsia" w:ascii="思源黑体 CN Normal" w:hAnsi="思源黑体 CN Normal" w:eastAsia="思源黑体 CN Normal" w:cs="思源黑体 CN Normal"/>
          <w:b/>
          <w:bCs/>
          <w:color w:val="C00000"/>
          <w:sz w:val="24"/>
          <w:szCs w:val="24"/>
          <w:lang w:val="en-US" w:eastAsia="zh-CN" w:bidi="ar-SA"/>
        </w:rPr>
        <w:t>映射规则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1）关于每个映射区域的起始、结束映射地址范围如下</w:t>
      </w:r>
    </w:p>
    <w:tbl>
      <w:tblPr>
        <w:tblStyle w:val="13"/>
        <w:tblW w:w="9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958"/>
        <w:gridCol w:w="1960"/>
        <w:gridCol w:w="1960"/>
        <w:gridCol w:w="19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99" w:type="dxa"/>
            <w:vMerge w:val="restart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映射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区域号</w:t>
            </w:r>
          </w:p>
        </w:tc>
        <w:tc>
          <w:tcPr>
            <w:tcW w:w="3919" w:type="dxa"/>
            <w:gridSpan w:val="2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线圈、离散输入</w:t>
            </w:r>
          </w:p>
        </w:tc>
        <w:tc>
          <w:tcPr>
            <w:tcW w:w="3920" w:type="dxa"/>
            <w:gridSpan w:val="2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保持、输入寄存器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959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映射起始地址</w:t>
            </w:r>
          </w:p>
        </w:tc>
        <w:tc>
          <w:tcPr>
            <w:tcW w:w="196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映射结束地址</w:t>
            </w:r>
          </w:p>
        </w:tc>
        <w:tc>
          <w:tcPr>
            <w:tcW w:w="196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映射起始地址</w:t>
            </w:r>
          </w:p>
        </w:tc>
        <w:tc>
          <w:tcPr>
            <w:tcW w:w="196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映射结束地址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63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127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128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191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32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192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255</w:t>
            </w:r>
          </w:p>
        </w:tc>
        <w:tc>
          <w:tcPr>
            <w:tcW w:w="1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48</w:t>
            </w:r>
          </w:p>
        </w:tc>
        <w:tc>
          <w:tcPr>
            <w:tcW w:w="19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256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319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1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320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383</w:t>
            </w:r>
          </w:p>
        </w:tc>
        <w:tc>
          <w:tcPr>
            <w:tcW w:w="19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80</w:t>
            </w:r>
          </w:p>
        </w:tc>
        <w:tc>
          <w:tcPr>
            <w:tcW w:w="1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95</w:t>
            </w:r>
          </w:p>
        </w:tc>
      </w:tr>
    </w:tbl>
    <w:p>
      <w:pPr>
        <w:jc w:val="center"/>
        <w:rPr>
          <w:rFonts w:hint="eastAsia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表5.7  映射地址范围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  <w:t>&lt;注&gt;Modbus TCP Client不能跨区域读写，只能一个个区域读写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2）Modbus RTU从站间的映射地址排序：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从站之间的映射地址先后，是按照网页中的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序号排序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的，序号1从站的各寄存器地址映射在前，序号大的依次在后，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而非按站号大小排序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，站号只表明当前序号访问哪号从站，对应的这个从站因为该序号确定其映射后地址在各从站间排序，如下图网页配置，序号1的从站虽然为255号站，但其地址映射在最前，序号2的1号站在其后。</w:t>
      </w:r>
    </w:p>
    <w:p>
      <w:pPr>
        <w:bidi w:val="0"/>
        <w:jc w:val="center"/>
        <w:rPr>
          <w:rFonts w:hint="eastAsia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1267460" cy="1429385"/>
            <wp:effectExtent l="0" t="0" r="8890" b="1841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3）从站内的映射地址排序：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每个从站内的地址的映射排序，仍按照从站地址原顺序排序，只不过映射后的起始地址，将按从站在表5.7中对应区域的起始地址开始（理论上网页中的序号与映射区域号一一对应，特殊情况参考地址长度为0的说明）。</w:t>
      </w:r>
    </w:p>
    <w:p>
      <w:pPr>
        <w:bidi w:val="0"/>
        <w:ind w:firstLine="420" w:firstLineChars="0"/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4）从站内某类寄存器地址长度为0：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如下图网页配置，当某个序号的从站的某种寄存器地址长度为0，后续序号从站的那种寄存器所对应的区域均将往前移。</w:t>
      </w:r>
    </w:p>
    <w:p>
      <w:pPr>
        <w:bidi w:val="0"/>
        <w:jc w:val="center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3743325" cy="2028825"/>
            <wp:effectExtent l="0" t="0" r="9525" b="952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上图中序号4的线圈地址长度为0，则序号5的线圈将映射到线圈区域4，序号6的线圈映射到线圈区域5，上图的映射关系参考下表，其余种类寄存器地址长度若均非0则不变，否则以此类推。</w:t>
      </w:r>
    </w:p>
    <w:tbl>
      <w:tblPr>
        <w:tblStyle w:val="13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264"/>
        <w:gridCol w:w="1020"/>
        <w:gridCol w:w="1020"/>
        <w:gridCol w:w="1020"/>
        <w:gridCol w:w="1020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264" w:type="dxa"/>
            <w:vMerge w:val="restart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映射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区域号</w:t>
            </w:r>
          </w:p>
        </w:tc>
        <w:tc>
          <w:tcPr>
            <w:tcW w:w="1264" w:type="dxa"/>
            <w:vMerge w:val="restart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网页中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5100" w:type="dxa"/>
            <w:gridSpan w:val="5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线圈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  <w:vMerge w:val="restart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从站站号</w:t>
            </w:r>
          </w:p>
        </w:tc>
        <w:tc>
          <w:tcPr>
            <w:tcW w:w="2040" w:type="dxa"/>
            <w:gridSpan w:val="2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从站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RTU侧</w:t>
            </w:r>
          </w:p>
        </w:tc>
        <w:tc>
          <w:tcPr>
            <w:tcW w:w="2040" w:type="dxa"/>
            <w:gridSpan w:val="2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映射后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sz w:val="18"/>
                <w:szCs w:val="18"/>
                <w:vertAlign w:val="baseline"/>
                <w:lang w:val="en-US" w:eastAsia="zh-CN"/>
              </w:rPr>
              <w:t>TCP侧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264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  <w:vMerge w:val="continue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起始地址</w:t>
            </w:r>
          </w:p>
        </w:tc>
        <w:tc>
          <w:tcPr>
            <w:tcW w:w="102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结束地址</w:t>
            </w:r>
          </w:p>
        </w:tc>
        <w:tc>
          <w:tcPr>
            <w:tcW w:w="102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起始地址</w:t>
            </w:r>
          </w:p>
        </w:tc>
        <w:tc>
          <w:tcPr>
            <w:tcW w:w="102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结束地址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255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63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1000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1012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80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93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200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9999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10035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94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</w:tr>
    </w:tbl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80" w:name="_Toc4272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5.8、自学习型TCP转RTU</w:t>
      </w:r>
      <w:bookmarkEnd w:id="80"/>
    </w:p>
    <w:p>
      <w:pPr>
        <w:numPr>
          <w:ilvl w:val="0"/>
          <w:numId w:val="0"/>
        </w:numPr>
        <w:bidi w:val="0"/>
        <w:ind w:leftChars="0"/>
        <w:jc w:val="center"/>
      </w:pPr>
      <w:r>
        <w:drawing>
          <wp:inline distT="0" distB="0" distL="114300" distR="114300">
            <wp:extent cx="6177915" cy="2791460"/>
            <wp:effectExtent l="0" t="0" r="13335" b="8890"/>
            <wp:docPr id="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本功能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拥有5.1章节的“通用TCP转RTU”功能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，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区别在于，本功能会自学习记录已接收过的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TCP端的读取报文信息，串口端根据此信息自动轮询Modbus RTU从站，将读取到的寄存器数据保存在模块内部，串口、网口两端异步并行处理，Modbus Client可直接读取模块内部寄存器数据快速响应，无视串口端响应缓慢，发挥Modbus TCP通讯速度快的优势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适用场景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适用于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Modbus TCP Client网口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设备要求快速响应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的场合。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不需要配置每个从站的起始地址，寄存器个数等信息，只需网页端配好模式和串口波特率就好。</w:t>
      </w:r>
    </w:p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功能参数</w:t>
      </w:r>
    </w:p>
    <w:tbl>
      <w:tblPr>
        <w:tblStyle w:val="13"/>
        <w:tblW w:w="7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3938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39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参数类型</w:t>
            </w:r>
          </w:p>
        </w:tc>
        <w:tc>
          <w:tcPr>
            <w:tcW w:w="3938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详情</w:t>
            </w:r>
          </w:p>
        </w:tc>
        <w:tc>
          <w:tcPr>
            <w:tcW w:w="1134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网口连接对象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Modbus TCP Client(客户端)</w:t>
            </w:r>
          </w:p>
        </w:tc>
        <w:tc>
          <w:tcPr>
            <w:tcW w:w="113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串口连接对象</w:t>
            </w:r>
          </w:p>
        </w:tc>
        <w:tc>
          <w:tcPr>
            <w:tcW w:w="39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  <w:t>Modbus RTU从站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存储型TCP转RTU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必设参数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(模块)IP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默认192.168.1.66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(模块)子网掩码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默认255.255.255.0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(模块)网关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默认192.168.1.1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(模块)通道1本机端口号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默认502(最大支持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(模块)通道2本机端口号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默认503(最大支持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(模块)通道3本机端口号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默认504(最大支持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(模块)通道4本机端口号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默认505(最大支持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3路</w:t>
            </w: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链接)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串口通讯参数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默认波特率9600、数据位8、停止位1、无校验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可存储TCP报文信息条数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每路串口的所有链接共用</w:t>
            </w:r>
            <w:r>
              <w:rPr>
                <w:rFonts w:hint="eastAsia" w:ascii="思源黑体 CN Normal" w:hAnsi="思源黑体 CN Normal" w:eastAsia="思源黑体 CN Normal" w:cs="思源黑体 CN Normal"/>
                <w:color w:val="FF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50条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固定参数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数据存储空间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每路串口的所有链接共用2048字节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固定参数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存储删除时间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5秒(可见“特别说明”)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固定参数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可选参数，具体说明见章节5.10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默认禁用，释放时间默认30s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网口超时时间</w:t>
            </w:r>
          </w:p>
        </w:tc>
        <w:tc>
          <w:tcPr>
            <w:tcW w:w="39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默认1000ms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>
      <w:pPr>
        <w:numPr>
          <w:ilvl w:val="0"/>
          <w:numId w:val="5"/>
        </w:numPr>
        <w:ind w:left="420" w:leftChars="0" w:hanging="420" w:firstLineChars="0"/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</w:pPr>
      <w:r>
        <w:rPr>
          <w:rFonts w:hint="eastAsia" w:ascii="思源黑体 CN Normal" w:hAnsi="思源黑体 CN Normal" w:eastAsia="思源黑体 CN Normal" w:cs="思源黑体 CN Normal"/>
          <w:color w:val="FF0000"/>
          <w:sz w:val="24"/>
          <w:szCs w:val="24"/>
          <w:lang w:val="en-US" w:eastAsia="zh-CN" w:bidi="ar-SA"/>
          <w14:glow w14:rad="0">
            <w14:srgbClr w14:val="000000"/>
          </w14:glow>
          <w14:shadow w14:blurRad="63500" w14:dist="50800" w14:dir="13500000">
            <w14:srgbClr w14:val="000000">
              <w14:alpha w14:val="50000"/>
            </w14:srgbClr>
          </w14:shadow>
          <w14:reflection w14:blurRad="0" w14:stA="0" w14:stPos="0" w14:endA="0" w14:endPos="0" w14:dist="0" w14:dir="0" w14:fadeDir="0" w14:sx="0" w14:sy="0" w14:kx="0" w14:ky="0" w14:algn="none"/>
          <w14:props3d w14:extrusionH="0" w14:contourW="0" w14:prstMaterial="clear"/>
        </w:rPr>
        <w:t>特别说明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1）Modbus TCP Client发出的第一条读取报文是非存储型的，因为此时还未有该报文的数据存储，模块将直接回应异常报文，一个异常报文在站号后的内容由异常功能码(功能码+0x80)+异常码02组合，例如00 00 00 00 00 02 01 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81 02。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思源黑体 CN Normal" w:hAnsi="思源黑体 CN Normal" w:eastAsia="思源黑体 CN Normal" w:cs="思源黑体 CN Normal"/>
          <w:b w:val="0"/>
          <w:bCs w:val="0"/>
          <w:color w:val="FF0000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2）某条已存储信息的报文，在存储删除时间内模块都未再次收到该报文，则其信息和数据将被删除，同时排其顺序后的信息、数据空间，将整体往前移动一个空间。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3）数据存储空间使用情况是和TCP读取报文信息相关的，假设TCP报文信息记录要读120个输入寄存器，则将占用数据存储空间240字节，因此即使可存储的TCP报文信息条数50条，但这样的TCP报文信息只能存储8条，否则数据存储空间将溢出无法使用。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81" w:name="_Toc12949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5.9、按键功能</w:t>
      </w:r>
      <w:bookmarkEnd w:id="8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0"/>
        <w:jc w:val="left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模长按Reset按钮5秒，直至SYS指示灯由闪烁变常亮后松开按钮，模块参数即恢复到出厂默认状态，默认参数如表5.9所示。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52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253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参数</w:t>
            </w:r>
          </w:p>
        </w:tc>
        <w:tc>
          <w:tcPr>
            <w:tcW w:w="5266" w:type="dxa"/>
            <w:shd w:val="clear" w:color="auto" w:fill="92CDDC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sz w:val="21"/>
                <w:szCs w:val="21"/>
                <w:vertAlign w:val="baseli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网页账号和密码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均为“666666”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IP地址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192.168.1.66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子网掩码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255.255.255.0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网关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192.168.1.1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端口释放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释放时间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30秒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串口波特率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sz w:val="18"/>
                <w:szCs w:val="18"/>
                <w:vertAlign w:val="baseline"/>
                <w:lang w:val="en-US" w:eastAsia="zh-CN"/>
              </w:rPr>
              <w:t>9600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串口格式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8-1-NONE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工作模式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Server透传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串口合包时间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串口延时发送时间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0ms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本机端口号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通道1为502，通道2为503，通道3为504，通道4为505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目标端口号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通道1为602，通道2为603，通道3为604，通道4为605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目标IP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192.168.1.250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网口超时时间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1000ms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心跳报文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报文头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报文尾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RTU发送间隔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RTU超时时间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1000ms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RTU重试次数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RTU主站模式站号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全0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RTU主站模式起始地址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全0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RTU主站模式地址长度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全0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高级TCP转RTU模式个数</w:t>
            </w:r>
          </w:p>
        </w:tc>
        <w:tc>
          <w:tcPr>
            <w:tcW w:w="52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kern w:val="2"/>
                <w:sz w:val="18"/>
                <w:szCs w:val="18"/>
                <w:vertAlign w:val="baseline"/>
                <w:lang w:val="en-US" w:eastAsia="zh-CN" w:bidi="ar-SA"/>
              </w:rPr>
              <w:t>全0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</w:pPr>
      <w:r>
        <w:rPr>
          <w:rFonts w:hint="eastAsia" w:ascii="思源黑体 CN Medium" w:hAnsi="思源黑体 CN Medium" w:eastAsia="思源黑体 CN Medium" w:cs="思源黑体 CN Medium"/>
          <w:sz w:val="21"/>
          <w:szCs w:val="21"/>
          <w:lang w:val="en-US" w:eastAsia="zh-CN"/>
        </w:rPr>
        <w:t>表5.9  出厂默认参数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</w:pPr>
      <w:bookmarkStart w:id="82" w:name="_Toc28206"/>
      <w:bookmarkStart w:id="83" w:name="_Toc24668"/>
      <w:bookmarkStart w:id="84" w:name="_Toc13522"/>
      <w:r>
        <w:rPr>
          <w:rFonts w:hint="eastAsia" w:ascii="思源黑体 CN Bold" w:hAnsi="思源黑体 CN Bold" w:eastAsia="思源黑体 CN Bold" w:cs="思源黑体 CN Bold"/>
          <w:color w:val="000000"/>
          <w:sz w:val="28"/>
          <w:szCs w:val="28"/>
          <w:lang w:val="en-US" w:eastAsia="zh-CN" w:bidi="ar-SA"/>
        </w:rPr>
        <w:t>5.10、特色功能</w:t>
      </w:r>
      <w:bookmarkEnd w:id="82"/>
    </w:p>
    <w:p>
      <w:pPr>
        <w:bidi w:val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1）串口合包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0"/>
        <w:textAlignment w:val="auto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模块通过不断检测串口接收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数据中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相邻2个字符的间隔时间，判断串口接收是否成帧，成帧后将该帧数据发往TCP端。间隔时间有2种：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①在串口合包时间设置为0ms时，MCU芯片根据串口空闲中断时间成帧，即是否检测到1个字符时长的总线空闲，以常用 1 位起始位+8位数据+1位停止位+无奇偶校验为1个字符为例（11 bit / 字符）：T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vertAlign w:val="subscript"/>
          <w:lang w:val="en-US" w:eastAsia="zh-CN"/>
        </w:rPr>
        <w:t>IDLE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 xml:space="preserve">=11× (1/波特率)，当波特率为9600时，T 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vertAlign w:val="subscript"/>
          <w:lang w:val="en-US" w:eastAsia="zh-CN"/>
        </w:rPr>
        <w:t>IDLE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=11×(1/9600)≈1.146ms，则模块在检测串口设备发到模块串口的数据的相邻字符间隔超过1.146ms时判断一帧结束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，其余波特率以此类推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0"/>
        <w:textAlignment w:val="auto"/>
        <w:rPr>
          <w:rFonts w:hint="default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②在串口合包时间设置为1~60000ms时，MCU芯片根据串口合包时间成帧，即检测相邻字符的间隔时间是否大于串口合包时间(假设为x)，如下图所示，当t0&gt;x、t1&lt;x、t2&lt;x、t3&lt;x、t4&lt;x、t5&gt;x时，Byte0-Byte4被打包为一帧串口数据。</w:t>
      </w:r>
    </w:p>
    <w:p>
      <w:pPr>
        <w:jc w:val="center"/>
      </w:pPr>
      <w:r>
        <w:drawing>
          <wp:inline distT="0" distB="0" distL="114300" distR="114300">
            <wp:extent cx="6149340" cy="945515"/>
            <wp:effectExtent l="0" t="0" r="3810" b="698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</w:pPr>
      <w:r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2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）串口</w:t>
      </w:r>
      <w:r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延时发送</w:t>
      </w:r>
    </w:p>
    <w:p>
      <w:pPr>
        <w:bidi w:val="0"/>
        <w:ind w:firstLine="420" w:firstLineChars="0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串口延时发送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是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指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模块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串口发出数据的时机延后串口延时时间再发出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，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这个时机即模块接收到网口数据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再将其转换为串口数据后，如下图所示。</w:t>
      </w:r>
    </w:p>
    <w:p>
      <w:pPr>
        <w:bidi w:val="0"/>
        <w:jc w:val="center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drawing>
          <wp:inline distT="0" distB="0" distL="114300" distR="114300">
            <wp:extent cx="4530090" cy="989965"/>
            <wp:effectExtent l="0" t="0" r="3810" b="63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3009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3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）</w:t>
      </w:r>
      <w:r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端口释放</w:t>
      </w:r>
    </w:p>
    <w:p>
      <w:pPr>
        <w:bidi w:val="0"/>
        <w:ind w:firstLine="420" w:firstLineChars="0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如下图所示，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模块启用端口释放后，检测到模块网口距上次接收数据已超过端口释放时间，即关闭自身TCP链接，这样可解决以太网通讯异常未让模块正常断开时，以太网设备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与</w:t>
      </w:r>
      <w:r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  <w:t>模块网口无法再连接的问题。</w:t>
      </w:r>
    </w:p>
    <w:p>
      <w:pPr>
        <w:bidi w:val="0"/>
        <w:jc w:val="center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drawing>
          <wp:inline distT="0" distB="0" distL="114300" distR="114300">
            <wp:extent cx="4725035" cy="772795"/>
            <wp:effectExtent l="0" t="0" r="18415" b="825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2503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 w:ascii="思源黑体 CN Normal" w:hAnsi="思源黑体 CN Normal" w:eastAsia="思源黑体 CN Normal" w:cs="思源黑体 CN Normal"/>
          <w:sz w:val="21"/>
          <w:szCs w:val="21"/>
          <w:lang w:eastAsia="zh-CN"/>
        </w:rPr>
      </w:pPr>
      <w:r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4</w:t>
      </w:r>
      <w:r>
        <w:rPr>
          <w:rFonts w:hint="eastAsia" w:ascii="思源黑体 CN Normal" w:hAnsi="思源黑体 CN Normal" w:eastAsia="思源黑体 CN Normal" w:cs="思源黑体 CN Normal"/>
          <w:color w:val="000000" w:themeColor="text1"/>
          <w:sz w:val="21"/>
          <w:szCs w:val="21"/>
          <w:lang w:val="en-US"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）</w:t>
      </w:r>
      <w:r>
        <w:rPr>
          <w:rFonts w:hint="default" w:ascii="思源黑体 CN Normal" w:hAnsi="思源黑体 CN Normal" w:eastAsia="思源黑体 CN Normal" w:cs="思源黑体 CN Normal"/>
          <w:color w:val="000000" w:themeColor="text1"/>
          <w:sz w:val="21"/>
          <w:szCs w:val="21"/>
          <w:lang w:eastAsia="zh-CN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Fill>
            <w14:solidFill>
              <w14:schemeClr w14:val="tx1"/>
            </w14:solidFill>
          </w14:textFill>
          <w14:props3d w14:extrusionH="0" w14:contourW="0" w14:prstMaterial="clear"/>
        </w:rPr>
        <w:t>网口超时时间</w:t>
      </w:r>
    </w:p>
    <w:p>
      <w:pPr>
        <w:ind w:firstLine="420" w:firstLineChars="0"/>
        <w:jc w:val="both"/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</w:pP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eastAsia="zh-CN"/>
        </w:rPr>
        <w:t>网口超时时间仅可在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eastAsia="zh-CN"/>
        </w:rPr>
        <w:t>通用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TCP转RTU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、</w:t>
      </w:r>
      <w:r>
        <w:rPr>
          <w:rFonts w:hint="eastAsia" w:ascii="思源黑体 CN Normal" w:hAnsi="思源黑体 CN Normal" w:eastAsia="思源黑体 CN Normal" w:cs="思源黑体 CN Normal"/>
          <w:color w:val="FF0000"/>
          <w:sz w:val="21"/>
          <w:szCs w:val="21"/>
          <w:lang w:val="en-US" w:eastAsia="zh-CN"/>
        </w:rPr>
        <w:t>高级TCP转RTU</w:t>
      </w:r>
      <w:r>
        <w:rPr>
          <w:rFonts w:hint="eastAsia" w:ascii="思源黑体 CN Normal" w:hAnsi="思源黑体 CN Normal" w:eastAsia="思源黑体 CN Normal" w:cs="思源黑体 CN Normal"/>
          <w:sz w:val="21"/>
          <w:szCs w:val="21"/>
          <w:lang w:val="en-US" w:eastAsia="zh-CN"/>
        </w:rPr>
        <w:t>功能中使用，主要用于这2种功能多路客户端同时链接模块串口来不及响应，如下图所示。</w:t>
      </w:r>
    </w:p>
    <w:p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4471035" cy="3406775"/>
            <wp:effectExtent l="0" t="0" r="5715" b="3175"/>
            <wp:docPr id="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1035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default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</w:pPr>
      <w:bookmarkStart w:id="85" w:name="_Toc20361"/>
      <w:r>
        <w:rPr>
          <w:rFonts w:hint="eastAsia" w:ascii="微软雅黑" w:hAnsi="微软雅黑" w:eastAsia="微软雅黑" w:cs="微软雅黑"/>
          <w:b/>
          <w:color w:val="000000"/>
          <w:kern w:val="44"/>
          <w:sz w:val="30"/>
          <w:szCs w:val="30"/>
          <w:lang w:val="en-US" w:eastAsia="zh-CN" w:bidi="ar-SA"/>
        </w:rPr>
        <w:t>六、上位机说明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  <w:t>6.1、上位机介绍</w:t>
      </w:r>
    </w:p>
    <w:p>
      <w:pPr>
        <w:ind w:firstLine="420" w:firstLineChars="0"/>
        <w:jc w:val="both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联系客服或进官网下载绿色版上位机工具DAFOREN_IPScanv10.exe；通过上位机，即使不知道设备IP，都可以扫描到相关设备（注意：必须选对网卡）。</w:t>
      </w:r>
    </w:p>
    <w:p>
      <w:pPr>
        <w:ind w:firstLine="420" w:firstLineChars="0"/>
        <w:jc w:val="both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点击“获取本机信息”可自动获取电脑支持的网卡，如下图所示：</w:t>
      </w:r>
    </w:p>
    <w:p>
      <w:pPr>
        <w:jc w:val="center"/>
      </w:pPr>
      <w:r>
        <w:drawing>
          <wp:inline distT="0" distB="0" distL="114300" distR="114300">
            <wp:extent cx="4893310" cy="2967355"/>
            <wp:effectExtent l="0" t="0" r="13970" b="444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9331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  <w:t>6.2、扫描设备设备IP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097145" cy="3075940"/>
            <wp:effectExtent l="0" t="0" r="8255" b="254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9714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首先，选择电脑与模块连接的网卡，然后点击“启动扫描”，可获取网络下所有的设备，如下图所示：。</w:t>
      </w:r>
    </w:p>
    <w:p>
      <w:pPr>
        <w:jc w:val="both"/>
      </w:pPr>
      <w:r>
        <w:drawing>
          <wp:inline distT="0" distB="0" distL="114300" distR="114300">
            <wp:extent cx="5166995" cy="3065780"/>
            <wp:effectExtent l="0" t="0" r="14605" b="1270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000000"/>
          <w:sz w:val="28"/>
          <w:szCs w:val="28"/>
          <w:lang w:val="en-US" w:eastAsia="zh-CN" w:bidi="ar-SA"/>
        </w:rPr>
        <w:t>6.3、修改IP</w:t>
      </w:r>
    </w:p>
    <w:p>
      <w:pPr>
        <w:jc w:val="both"/>
      </w:pPr>
    </w:p>
    <w:p>
      <w:pPr>
        <w:jc w:val="both"/>
      </w:pPr>
      <w:r>
        <w:drawing>
          <wp:inline distT="0" distB="0" distL="114300" distR="114300">
            <wp:extent cx="5266690" cy="3107690"/>
            <wp:effectExtent l="0" t="0" r="6350" b="127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0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选择要修改的设备，双击IP地址信息，在弹出的对话框中修改IP，点击“保存”即可完成IP修改（需要重启设备）。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bookmarkStart w:id="87" w:name="_GoBack"/>
      <w:bookmarkEnd w:id="87"/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</w:pPr>
      <w:r>
        <w:rPr>
          <w:rFonts w:hint="eastAsia" w:ascii="思源黑体 CN Bold" w:hAnsi="思源黑体 CN Bold" w:eastAsia="思源黑体 CN Bold" w:cs="思源黑体 CN Bold"/>
          <w:b/>
          <w:color w:val="000000"/>
          <w:kern w:val="44"/>
          <w:sz w:val="30"/>
          <w:szCs w:val="30"/>
          <w:lang w:val="en-US" w:eastAsia="zh-CN" w:bidi="ar-SA"/>
        </w:rPr>
        <w:t>附录A、标准ACSII对照表</w:t>
      </w:r>
      <w:bookmarkEnd w:id="85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/>
          <w:lang w:val="en-US" w:eastAsia="zh-CN"/>
        </w:rPr>
      </w:pPr>
    </w:p>
    <w:tbl>
      <w:tblPr>
        <w:tblStyle w:val="12"/>
        <w:tblW w:w="82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5"/>
        <w:gridCol w:w="1134"/>
        <w:gridCol w:w="1701"/>
        <w:gridCol w:w="1134"/>
        <w:gridCol w:w="1134"/>
        <w:gridCol w:w="20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EBECED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sz w:val="21"/>
                <w:szCs w:val="21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0"/>
                <w:sz w:val="21"/>
                <w:szCs w:val="21"/>
                <w:lang w:val="en-US" w:eastAsia="zh-CN" w:bidi="ar"/>
              </w:rPr>
              <w:t>10进制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EBECED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sz w:val="21"/>
                <w:szCs w:val="21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0"/>
                <w:sz w:val="21"/>
                <w:szCs w:val="21"/>
                <w:lang w:val="en-US" w:eastAsia="zh-CN" w:bidi="ar"/>
              </w:rPr>
              <w:t>16进制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EBECED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sz w:val="21"/>
                <w:szCs w:val="21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0"/>
                <w:sz w:val="21"/>
                <w:szCs w:val="21"/>
                <w:lang w:val="en-US" w:eastAsia="zh-CN" w:bidi="ar"/>
              </w:rPr>
              <w:t>字符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EBECED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0"/>
                <w:sz w:val="21"/>
                <w:szCs w:val="21"/>
                <w:lang w:val="en-US" w:eastAsia="zh-CN" w:bidi="ar"/>
              </w:rPr>
              <w:t>10进制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EBECED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center"/>
              <w:textAlignment w:val="auto"/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0"/>
                <w:sz w:val="21"/>
                <w:szCs w:val="21"/>
                <w:lang w:val="en-US" w:eastAsia="zh-CN" w:bidi="ar"/>
              </w:rPr>
              <w:t>16进制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EBECED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center"/>
              <w:textAlignment w:val="auto"/>
              <w:rPr>
                <w:rFonts w:hint="default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思源黑体 CN Heavy" w:hAnsi="思源黑体 CN Heavy" w:eastAsia="思源黑体 CN Heavy" w:cs="思源黑体 CN Heavy"/>
                <w:i w:val="0"/>
                <w:iCs w:val="0"/>
                <w:caps w:val="0"/>
                <w:color w:val="191B1F"/>
                <w:spacing w:val="0"/>
                <w:kern w:val="0"/>
                <w:sz w:val="21"/>
                <w:szCs w:val="21"/>
                <w:lang w:val="en-US" w:eastAsia="zh-CN" w:bidi="ar"/>
              </w:rPr>
              <w:t>字符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00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&lt;NUL&gt;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@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01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&lt;SOH&gt;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41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02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&lt;STX&gt;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42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03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&lt;ETX&gt;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04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&lt;EOT&gt;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44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05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&lt;ENQ&gt;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45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06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&lt;ACK&gt;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46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07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&lt;BEL&gt;\a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47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08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&lt;BS&gt;\b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09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&lt;HT&gt;\t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49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0A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&lt;LF&gt;\n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4A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0B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&lt;VT&gt;\v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4B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0C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&lt;FF&gt;\f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4C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0D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&lt;CR&gt;\r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4D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0E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&lt;SO (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zhida.zhihu.com/search?content_id=147053116&amp;content_type=Article&amp;match_order=1&amp;q=Shift+Out&amp;zd_token=eyJhbGciOiJIUzI1NiIsInR5cCI6IkpXVCJ9.eyJpc3MiOiJ6aGlkYV9zZXJ2ZXIiLCJleHAiOjE3Nzg5MjE3OTEsInEiOiJTaGlmdCBPdXQiLCJ6aGlkYV9zb3VyY2UiOiJlbnRpdHkiLCJjb250ZW50X2lkIjoxNDcwNTMxMTYsImNvbnRlbnRfdHlwZSI6IkFydGljbGUiLCJtYXRjaF9vcmRlciI6MSwiemRfdG9rZW4iOm51bGx9.03tBBu_fVEWDkDrXpac2mumizQRtLGvQsqstIklUak0&amp;zhida_source=entity" \t "https://zhuanlan.zhihu.com/p/_blank" </w:instrTex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16"/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sz w:val="18"/>
                <w:szCs w:val="18"/>
                <w:u w:val="none"/>
              </w:rPr>
              <w:t>Shift Out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4E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0F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&lt;SI (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zhida.zhihu.com/search?content_id=147053116&amp;content_type=Article&amp;match_order=1&amp;q=Shift+In&amp;zd_token=eyJhbGciOiJIUzI1NiIsInR5cCI6IkpXVCJ9.eyJpc3MiOiJ6aGlkYV9zZXJ2ZXIiLCJleHAiOjE3Nzg5MjE3OTEsInEiOiJTaGlmdCBJbiIsInpoaWRhX3NvdXJjZSI6ImVudGl0eSIsImNvbnRlbnRfaWQiOjE0NzA1MzExNiwiY29udGVudF90eXBlIjoiQXJ0aWNsZSIsIm1hdGNoX29yZGVyIjoxLCJ6ZF90b2tlbiI6bnVsbH0.yFhf8WPiJoDEAc94CtRMcns8dX-H74AyQuD8dpoXDps&amp;zhida_source=entity" \t "https://zhuanlan.zhihu.com/p/_blank" </w:instrTex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16"/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sz w:val="18"/>
                <w:szCs w:val="18"/>
                <w:u w:val="none"/>
              </w:rPr>
              <w:t>Shift In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4F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zhida.zhihu.com/search?content_id=147053116&amp;content_type=Article&amp;match_order=1&amp;q=DLE&amp;zd_token=eyJhbGciOiJIUzI1NiIsInR5cCI6IkpXVCJ9.eyJpc3MiOiJ6aGlkYV9zZXJ2ZXIiLCJleHAiOjE3Nzg5MjE3OTEsInEiOiJETEUiLCJ6aGlkYV9zb3VyY2UiOiJlbnRpdHkiLCJjb250ZW50X2lkIjoxNDcwNTMxMTYsImNvbnRlbnRfdHlwZSI6IkFydGljbGUiLCJtYXRjaF9vcmRlciI6MSwiemRfdG9rZW4iOm51bGx9.esm6n8wIcrPN0b2DlFbeiVNw38K9YmM6GcrGTrSqkww&amp;zhida_source=entity" \t "https://zhuanlan.zhihu.com/p/_blank" </w:instrTex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16"/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sz w:val="18"/>
                <w:szCs w:val="18"/>
                <w:u w:val="none"/>
              </w:rPr>
              <w:t>DLE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&lt;DC1/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zhida.zhihu.com/search?content_id=147053116&amp;content_type=Article&amp;match_order=1&amp;q=XON&amp;zd_token=eyJhbGciOiJIUzI1NiIsInR5cCI6IkpXVCJ9.eyJpc3MiOiJ6aGlkYV9zZXJ2ZXIiLCJleHAiOjE3Nzg5MjE3OTEsInEiOiJYT04iLCJ6aGlkYV9zb3VyY2UiOiJlbnRpdHkiLCJjb250ZW50X2lkIjoxNDcwNTMxMTYsImNvbnRlbnRfdHlwZSI6IkFydGljbGUiLCJtYXRjaF9vcmRlciI6MSwiemRfdG9rZW4iOm51bGx9.c2Au9BPn8iiwb3OmWs1U---usio5uu4c_b3DnK3K4wI&amp;zhida_source=entity" \t "https://zhuanlan.zhihu.com/p/_blank" </w:instrTex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16"/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sz w:val="18"/>
                <w:szCs w:val="18"/>
                <w:u w:val="none"/>
              </w:rPr>
              <w:t>XON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51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&lt;DC2 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52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&lt;DC3/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zhida.zhihu.com/search?content_id=147053116&amp;content_type=Article&amp;match_order=1&amp;q=XOFF&amp;zd_token=eyJhbGciOiJIUzI1NiIsInR5cCI6IkpXVCJ9.eyJpc3MiOiJ6aGlkYV9zZXJ2ZXIiLCJleHAiOjE3Nzg5MjE3OTEsInEiOiJYT0ZGIiwiemhpZGFfc291cmNlIjoiZW50aXR5IiwiY29udGVudF9pZCI6MTQ3MDUzMTE2LCJjb250ZW50X3R5cGUiOiJBcnRpY2xlIiwibWF0Y2hfb3JkZXIiOjEsInpkX3Rva2VuIjpudWxsfQ.7gT7ateosy0xDufH49jZrGjUh1fP4GReNAeb8RlMwuk&amp;zhida_source=entity" \t "https://zhuanlan.zhihu.com/p/_blank" </w:instrTex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16"/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sz w:val="18"/>
                <w:szCs w:val="18"/>
                <w:u w:val="none"/>
              </w:rPr>
              <w:t>XOFF</w:t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09408E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53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&lt;DC4&gt;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54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&lt;NAK&gt;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&lt;SYN&gt;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&lt;ETB&gt;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57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&lt;CAN&gt;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&lt;EM&gt;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59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1A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&lt;SUB 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5A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1B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&lt;ESC 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5B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[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1C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&lt;FS 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5C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  <w:t>\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1D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&lt;GS&gt;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5D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1E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&lt;RS&gt;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5E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^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1F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&lt;US&gt;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5F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_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default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&lt;SPACE&gt;空格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60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`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!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61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"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62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#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63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$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64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%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65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&amp;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66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'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67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(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68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69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2A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*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6A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j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2B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+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6B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2C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,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6C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2D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109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6D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2E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.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6E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2F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6F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70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q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72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73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74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35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75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u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76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v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119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77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78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79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58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3A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: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7A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59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3B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7B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{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60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3C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&lt;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124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7C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|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61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3D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=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125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7D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62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3E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&gt;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126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7E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~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1135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63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3F</w:t>
            </w:r>
          </w:p>
        </w:tc>
        <w:tc>
          <w:tcPr>
            <w:tcW w:w="1701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sz w:val="18"/>
                <w:szCs w:val="18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?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127</w:t>
            </w:r>
          </w:p>
        </w:tc>
        <w:tc>
          <w:tcPr>
            <w:tcW w:w="1134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7F</w:t>
            </w:r>
          </w:p>
        </w:tc>
        <w:tc>
          <w:tcPr>
            <w:tcW w:w="2047" w:type="dxa"/>
            <w:tcBorders>
              <w:top w:val="single" w:color="C4C7CE" w:sz="6" w:space="0"/>
              <w:left w:val="single" w:color="C4C7CE" w:sz="6" w:space="0"/>
              <w:bottom w:val="single" w:color="C4C7CE" w:sz="6" w:space="0"/>
              <w:right w:val="single" w:color="C4C7CE" w:sz="6" w:space="0"/>
            </w:tcBorders>
            <w:shd w:val="clear" w:color="auto" w:fill="FFFFFF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jc w:val="left"/>
              <w:textAlignment w:val="auto"/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思源黑体 CN Normal" w:hAnsi="思源黑体 CN Normal" w:eastAsia="思源黑体 CN Normal" w:cs="思源黑体 CN Normal"/>
                <w:i w:val="0"/>
                <w:iCs w:val="0"/>
                <w:caps w:val="0"/>
                <w:color w:val="191B1F"/>
                <w:spacing w:val="0"/>
                <w:kern w:val="0"/>
                <w:sz w:val="18"/>
                <w:szCs w:val="18"/>
                <w:lang w:val="en-US" w:eastAsia="zh-CN" w:bidi="ar"/>
              </w:rPr>
              <w:t>DEL (Delete)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default"/>
          <w:lang w:val="en-US" w:eastAsia="zh-CN"/>
        </w:rPr>
        <w:sectPr>
          <w:footerReference r:id="rId5" w:type="default"/>
          <w:pgSz w:w="11906" w:h="16838"/>
          <w:pgMar w:top="1440" w:right="1083" w:bottom="1440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sz w:val="30"/>
          <w:szCs w:val="30"/>
          <w:lang w:val="en-US" w:eastAsia="zh-CN"/>
        </w:rPr>
      </w:pPr>
      <w:bookmarkStart w:id="86" w:name="_Toc21748"/>
      <w:r>
        <w:rPr>
          <w:rFonts w:hint="eastAsia" w:ascii="思源黑体 CN Bold" w:hAnsi="思源黑体 CN Bold" w:eastAsia="思源黑体 CN Bold" w:cs="思源黑体 CN Bold"/>
          <w:sz w:val="30"/>
          <w:szCs w:val="30"/>
          <w:lang w:val="en-US" w:eastAsia="zh-CN"/>
        </w:rPr>
        <w:t>修订历史</w:t>
      </w:r>
      <w:bookmarkEnd w:id="83"/>
      <w:bookmarkEnd w:id="84"/>
      <w:bookmarkEnd w:id="86"/>
    </w:p>
    <w:p/>
    <w:p/>
    <w:p/>
    <w:p/>
    <w:p/>
    <w:p/>
    <w:p/>
    <w:p/>
    <w:p/>
    <w:p/>
    <w:p/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jc w:val="left"/>
        <w:rPr>
          <w:rFonts w:hint="eastAsia" w:ascii="楷体" w:hAnsi="楷体" w:eastAsia="楷体" w:cs="楷体"/>
          <w:sz w:val="24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eastAsia" w:ascii="思源黑体 CN Bold" w:hAnsi="思源黑体 CN Bold" w:eastAsia="思源黑体 CN Bold" w:cs="思源黑体 CN Bold"/>
          <w:sz w:val="30"/>
          <w:szCs w:val="30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1365250</wp:posOffset>
                </wp:positionH>
                <wp:positionV relativeFrom="paragraph">
                  <wp:posOffset>2795270</wp:posOffset>
                </wp:positionV>
                <wp:extent cx="904240" cy="400050"/>
                <wp:effectExtent l="0" t="0" r="0" b="0"/>
                <wp:wrapNone/>
                <wp:docPr id="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24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思源黑体 CN Normal" w:hAnsi="思源黑体 CN Normal" w:eastAsia="思源黑体 CN Normal" w:cs="思源黑体 CN Normal"/>
                              </w:rPr>
                            </w:pPr>
                            <w:r>
                              <w:rPr>
                                <w:rFonts w:hint="eastAsia" w:ascii="思源黑体 CN Normal" w:hAnsi="思源黑体 CN Normal" w:eastAsia="思源黑体 CN Normal" w:cs="思源黑体 CN Normal"/>
                              </w:rPr>
                              <w:t>官方公众号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107.5pt;margin-top:220.1pt;height:31.5pt;width:71.2pt;z-index:251660288;mso-width-relative:page;mso-height-relative:page;" filled="f" stroked="f" coordsize="21600,21600" o:gfxdata="UEsDBAoAAAAAAIdO4kAAAAAAAAAAAAAAAAAEAAAAZHJzL1BLAwQUAAAACACHTuJAURyQidkAAAAL&#10;AQAADwAAAGRycy9kb3ducmV2LnhtbE2PzU7DMBCE70i8g7VI3KidNAGaZtMDiCsV5Ufi5sbbJCJe&#10;R7HbhLfHPdHjaEYz35Sb2fbiRKPvHCMkCwWCuHam4wbh4/3l7hGED5qN7h0Twi952FTXV6UujJv4&#10;jU670IhYwr7QCG0IQyGlr1uy2i/cQBy9gxutDlGOjTSjnmK57WWq1L20uuO40OqBnlqqf3ZHi/D5&#10;evj+ytS2ebb5MLlZSbYriXh7k6g1iEBz+A/DGT+iQxWZ9u7IxoseIU3y+CUgZJlKQcTEMn/IQOwR&#10;crVMQValvPxQ/QFQSwMEFAAAAAgAh07iQLSqmwm3AQAAXAMAAA4AAABkcnMvZTJvRG9jLnhtbK1T&#10;S27bMBDdF8gdCO5jyobTj2A5QGEkm6ItkPYANEVZBPjrDG3JF2hv0FU33fdcPkeHtOO0ySaLbChy&#10;ZvjmvTfU4np0lu00oAm+4dNJxZn2KrTGbxr+9cvN5VvOMEnfShu8bvheI79eXrxaDLHWs9AH22pg&#10;BOKxHmLD+5RiLQSqXjuJkxC1p2QXwMlER9iIFuRA6M6KWVW9FkOANkJQGpGiq2OSnxDhOYCh64zS&#10;q6C2Tvt0RAVtZSJJ2JuIfFnYdp1W6VPXoU7MNpyUprJSE9qv8yqWC1lvQMbeqBMF+RwKjzQ5aTw1&#10;PUOtZJJsC+YJlDMKAoYuTVRw4iikOEIqptUjb+56GXXRQlZjPJuOLwerPu4+AzNtw99w5qWjgR9+&#10;/jj8+nP4/Z1Np9mfIWJNZXeRCtP4Poz0au7jSMEse+zA5S8JYpQnd/dnd/WYmKLgu2o+m1NGUWpe&#10;VdVVcV88XI6A6VYHx/Km4UDDK57K3QdMRIRK70tyLx9ujLVlgNb/F6DCHBGZ+ZFh3qVxPZ7krEO7&#10;JzUDzb3h+G0rQXO2jWA2PTUu6splMr20PT2QPNV/z6XFw0+x/A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RHJCJ2QAAAAsBAAAPAAAAAAAAAAEAIAAAACIAAABkcnMvZG93bnJldi54bWxQSwECFAAU&#10;AAAACACHTuJAtKqbCbcBAABcAwAADgAAAAAAAAABACAAAAAoAQAAZHJzL2Uyb0RvYy54bWxQSwUG&#10;AAAAAAYABgBZAQAAU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思源黑体 CN Normal" w:hAnsi="思源黑体 CN Normal" w:eastAsia="思源黑体 CN Normal" w:cs="思源黑体 CN Normal"/>
                        </w:rPr>
                      </w:pPr>
                      <w:r>
                        <w:rPr>
                          <w:rFonts w:hint="eastAsia" w:ascii="思源黑体 CN Normal" w:hAnsi="思源黑体 CN Normal" w:eastAsia="思源黑体 CN Normal" w:cs="思源黑体 CN Normal"/>
                        </w:rPr>
                        <w:t>官方公众号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3757295</wp:posOffset>
                </wp:positionH>
                <wp:positionV relativeFrom="paragraph">
                  <wp:posOffset>2799080</wp:posOffset>
                </wp:positionV>
                <wp:extent cx="933450" cy="352425"/>
                <wp:effectExtent l="0" t="0" r="0" b="0"/>
                <wp:wrapNone/>
                <wp:docPr id="8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思源黑体 CN Normal" w:hAnsi="思源黑体 CN Normal" w:eastAsia="思源黑体 CN Normal" w:cs="思源黑体 CN Normal"/>
                              </w:rPr>
                            </w:pPr>
                            <w:r>
                              <w:rPr>
                                <w:rFonts w:hint="eastAsia" w:ascii="思源黑体 CN Normal" w:hAnsi="思源黑体 CN Normal" w:eastAsia="思源黑体 CN Normal" w:cs="思源黑体 CN Normal"/>
                              </w:rPr>
                              <w:t>官方抖音号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95.85pt;margin-top:220.4pt;height:27.75pt;width:73.5pt;z-index:251661312;mso-width-relative:page;mso-height-relative:page;" filled="f" stroked="f" coordsize="21600,21600" o:gfxdata="UEsDBAoAAAAAAIdO4kAAAAAAAAAAAAAAAAAEAAAAZHJzL1BLAwQUAAAACACHTuJAREt6xNcAAAAL&#10;AQAADwAAAGRycy9kb3ducmV2LnhtbE2Py07DMBBF90j9B2sqsaN22vSREKeLIrYgykNi58bTJCIe&#10;R7HbhL9nWMFy7hzdR7GfXCeuOITWk4ZkoUAgVd62VGt4e32824EI0ZA1nSfU8I0B9uXspjC59SO9&#10;4PUYa8EmFHKjoYmxz6UMVYPOhIXvkfh39oMzkc+hlnYwI5u7Ti6V2khnWuKExvR4aLD6Ol6chven&#10;8+dHqp7rB7fuRz8pSS6TWt/OE3UPIuIU/2D4rc/VoeROJ38hG0SnYZ0lW0Y1pKniDUxsVztWTqxk&#10;mxXIspD/N5Q/UEsDBBQAAAAIAIdO4kDibYYOtwEAAFwDAAAOAAAAZHJzL2Uyb0RvYy54bWytU0uO&#10;EzEQ3SNxB8t74nwmCFrpjISiYYMAaeAAjtudtmS7jMtJdy4AN2DFhj3nyjkouzMZmNnMYjZuu6r8&#10;qt577tX14Cw76IgGfM1nkyln2itojN/V/OuXm1dvOMMkfSMteF3zo0Z+vX75YtWHSs+hA9voyAjE&#10;Y9WHmncphUoIVJ12EicQtKdkC9HJRMe4E02UPaE7K+bT6WvRQ2xCBKURKboZk/yMGJ8CCG1rlN6A&#10;2jvt04gatZWJKGFnAvJ1mbZttUqf2hZ1YrbmxDSVlZrQfptXsV7Jahdl6Iw6jyCfMsIDTk4aT00v&#10;UBuZJNtH8wjKGRUBoU0TBU6MRIoixGI2faDNbSeDLlxIagwX0fH5YNXHw+fITFNzst1LR4affv44&#10;/fpz+v2dzRZZnz5gRWW3gQrT8A4GejV3caRgpj200eUvEWKUJ3WPF3X1kJii4NvF4mpJGUWpxXJ+&#10;NV9mFHF/OURM7zU4ljc1j2Re0VQePmAaS+9Kci8PN8baYqD1/wUIM0dEnnycMO/SsB3OdLbQHIlN&#10;T77XHL/tZdSc7UM0u44aF3blMoleJjw/kOzqv+fS4v6nWP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REt6xNcAAAALAQAADwAAAAAAAAABACAAAAAiAAAAZHJzL2Rvd25yZXYueG1sUEsBAhQAFAAA&#10;AAgAh07iQOJthg63AQAAXAMAAA4AAAAAAAAAAQAgAAAAJg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思源黑体 CN Normal" w:hAnsi="思源黑体 CN Normal" w:eastAsia="思源黑体 CN Normal" w:cs="思源黑体 CN Normal"/>
                        </w:rPr>
                      </w:pPr>
                      <w:r>
                        <w:rPr>
                          <w:rFonts w:hint="eastAsia" w:ascii="思源黑体 CN Normal" w:hAnsi="思源黑体 CN Normal" w:eastAsia="思源黑体 CN Normal" w:cs="思源黑体 CN Normal"/>
                        </w:rPr>
                        <w:t>官方抖音号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6" w:type="default"/>
      <w:type w:val="continuous"/>
      <w:pgSz w:w="11906" w:h="16838"/>
      <w:pgMar w:top="1440" w:right="720" w:bottom="720" w:left="108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Normal">
    <w:altName w:val="黑体"/>
    <w:panose1 w:val="020B0400000000000000"/>
    <w:charset w:val="86"/>
    <w:family w:val="auto"/>
    <w:pitch w:val="default"/>
    <w:sig w:usb0="00000000" w:usb1="00000000" w:usb2="00000016" w:usb3="00000000" w:csb0="60060107" w:csb1="00000000"/>
  </w:font>
  <w:font w:name="思源黑体 CN Bold">
    <w:altName w:val="黑体"/>
    <w:panose1 w:val="020B0800000000000000"/>
    <w:charset w:val="86"/>
    <w:family w:val="auto"/>
    <w:pitch w:val="default"/>
    <w:sig w:usb0="00000000" w:usb1="00000000" w:usb2="00000016" w:usb3="00000000" w:csb0="60060107" w:csb1="00000000"/>
  </w:font>
  <w:font w:name="思源黑体 CN Heavy">
    <w:altName w:val="黑体"/>
    <w:panose1 w:val="020B0A00000000000000"/>
    <w:charset w:val="86"/>
    <w:family w:val="auto"/>
    <w:pitch w:val="default"/>
    <w:sig w:usb0="00000000" w:usb1="00000000" w:usb2="00000016" w:usb3="00000000" w:csb0="6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思源黑体 CN Light">
    <w:altName w:val="黑体"/>
    <w:panose1 w:val="020B0300000000000000"/>
    <w:charset w:val="86"/>
    <w:family w:val="auto"/>
    <w:pitch w:val="default"/>
    <w:sig w:usb0="00000000" w:usb1="00000000" w:usb2="00000016" w:usb3="00000000" w:csb0="60060107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思源黑体 CN Normal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 w:firstLineChars="2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posOffset>2983865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</w:pP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  <w:t>第 1 页第 1 页</w:t>
                          </w: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  <w:lang w:val="en-US" w:eastAsia="zh-CN"/>
                            </w:rPr>
                            <w:t xml:space="preserve">                 </w:t>
                          </w: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  <w:t>E485-B04模块使用手册</w:t>
                          </w: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  <w:fldChar w:fldCharType="begin"/>
                          </w: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  <w:fldChar w:fldCharType="separate"/>
                          </w:r>
                          <w:r>
                            <w:rPr>
                              <w:rFonts w:hint="eastAsia" w:ascii="思源黑体 CN Normal" w:hAnsi="思源黑体 CN Normal" w:eastAsia="思源黑体 CN Normal" w:cs="思源黑体 CN Norm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95pt;margin-top:0pt;height:144pt;width:144pt;mso-position-horizontal-relative:margin;mso-wrap-style:none;z-index:251666432;mso-width-relative:page;mso-height-relative:page;" filled="f" stroked="f" coordsize="21600,21600" o:gfxdata="UEsDBAoAAAAAAIdO4kAAAAAAAAAAAAAAAAAEAAAAZHJzL1BLAwQUAAAACACHTuJAXw1dmdYAAAAI&#10;AQAADwAAAGRycy9kb3ducmV2LnhtbE2PzU7DMBCE70i8g7VI3KjdUto0jVOJinBEouHA0Y2XJMU/&#10;ke2m4e1ZTvQ4mtHMN8VusoaNGGLvnYT5TABD13jdu1bCR109ZMBiUk4r4x1K+MEIu/L2plC59hf3&#10;juMhtYxKXMyVhC6lIec8Nh1aFWd+QEfelw9WJZKh5TqoC5VbwxdCrLhVvaOFTg2477D5PpythH1V&#10;12HEGMwnvlaPp7fnJb5MUt7fzcUWWMIp/YfhD5/QoSSmoz87HZmRsFxtNhSVQI/IXj+tSR4lLLJM&#10;AC8Lfn2g/AVQSwMEFAAAAAgAh07iQI87R3IzAgAAYwQAAA4AAABkcnMvZTJvRG9jLnhtbK1UzY7T&#10;MBC+I/EOlu80aVdUVdV0VbYqQqrYlQri7DpOE8l/st0m5QHgDThx4c5z9Tn2c366aOGwBy7O2DP+&#10;xt83M1ncNkqSk3C+Mjqj41FKidDc5JU+ZPTzp82bGSU+MJ0zabTI6Fl4ert8/WpR27mYmNLIXDgC&#10;EO3ntc1oGYKdJ4nnpVDMj4wVGs7COMUCtu6Q5I7VQFcymaTpNKmNy60zXHiP03XnpD2iewmgKYqK&#10;i7XhRyV06FCdkCyAki8r6+myfW1RCB7ui8KLQGRGwTS0K5LA3sc1WS7Y/OCYLSveP4G95AnPOClW&#10;aSS9Qq1ZYOToqr+gVMWd8aYII25U0hFpFQGLcfpMm13JrGi5QGpvr6L7/wfLP54eHKnyjN5MKdFM&#10;oeKXH98vP39ffn0jOINAtfVzxO0sIkPzzjRom+Hc4zDybgqn4heMCPyQ93yVVzSB8HhpNpnNUrg4&#10;fMMG+MnTdet8eC+MItHIqEP9WlnZaetDFzqExGzabCop2xpKTeqMTm/epu2FqwfgUiNHJNE9Nlqh&#10;2Tc9s73JzyDmTNcb3vJNheRb5sMDc2gGPBjjEu6xFNIgiektSkrjvv7rPMajRvBSUqO5MqoxS5TI&#10;Dxq1A2AYDDcY+8HQR3Vn0K1jjKHlrYkLLsjBLJxRXzBDq5gDLqY5MmU0DOZd6BocM8jFatUGHa2r&#10;DmV3AZ1nWdjqneUxTRTS29UxQMxW4yhQp0qvG3qvrVI/J7G5/9y3UU//huU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Xw1dmdYAAAAIAQAADwAAAAAAAAABACAAAAAiAAAAZHJzL2Rvd25yZXYueG1s&#10;UEsBAhQAFAAAAAgAh07iQI87R3IzAgAAYwQAAA4AAAAAAAAAAQAgAAAAJ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="思源黑体 CN Normal" w:hAnsi="思源黑体 CN Normal" w:eastAsia="思源黑体 CN Normal" w:cs="思源黑体 CN Normal"/>
                      </w:rPr>
                    </w:pPr>
                    <w:r>
                      <w:rPr>
                        <w:rFonts w:hint="eastAsia" w:ascii="思源黑体 CN Normal" w:hAnsi="思源黑体 CN Normal" w:eastAsia="思源黑体 CN Normal" w:cs="思源黑体 CN Normal"/>
                      </w:rPr>
                      <w:t>第 1 页第 1 页</w:t>
                    </w:r>
                    <w:r>
                      <w:rPr>
                        <w:rFonts w:hint="eastAsia" w:ascii="思源黑体 CN Normal" w:hAnsi="思源黑体 CN Normal" w:eastAsia="思源黑体 CN Normal" w:cs="思源黑体 CN Normal"/>
                        <w:lang w:val="en-US" w:eastAsia="zh-CN"/>
                      </w:rPr>
                      <w:t xml:space="preserve">                 </w:t>
                    </w:r>
                    <w:r>
                      <w:rPr>
                        <w:rFonts w:hint="eastAsia" w:ascii="思源黑体 CN Normal" w:hAnsi="思源黑体 CN Normal" w:eastAsia="思源黑体 CN Normal" w:cs="思源黑体 CN Normal"/>
                      </w:rPr>
                      <w:t>E485-B04模块使用手册</w:t>
                    </w:r>
                    <w:r>
                      <w:rPr>
                        <w:rFonts w:hint="eastAsia" w:ascii="思源黑体 CN Normal" w:hAnsi="思源黑体 CN Normal" w:eastAsia="思源黑体 CN Normal" w:cs="思源黑体 CN Normal"/>
                      </w:rPr>
                      <w:fldChar w:fldCharType="begin"/>
                    </w:r>
                    <w:r>
                      <w:rPr>
                        <w:rFonts w:hint="eastAsia" w:ascii="思源黑体 CN Normal" w:hAnsi="思源黑体 CN Normal" w:eastAsia="思源黑体 CN Normal" w:cs="思源黑体 CN Normal"/>
                      </w:rPr>
                      <w:instrText xml:space="preserve"> PAGE  \* MERGEFORMAT </w:instrText>
                    </w:r>
                    <w:r>
                      <w:rPr>
                        <w:rFonts w:hint="eastAsia" w:ascii="思源黑体 CN Normal" w:hAnsi="思源黑体 CN Normal" w:eastAsia="思源黑体 CN Normal" w:cs="思源黑体 CN Normal"/>
                      </w:rPr>
                      <w:fldChar w:fldCharType="separate"/>
                    </w:r>
                    <w:r>
                      <w:rPr>
                        <w:rFonts w:hint="eastAsia" w:ascii="思源黑体 CN Normal" w:hAnsi="思源黑体 CN Normal" w:eastAsia="思源黑体 CN Normal" w:cs="思源黑体 CN Norm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3750945</wp:posOffset>
              </wp:positionH>
              <wp:positionV relativeFrom="paragraph">
                <wp:posOffset>-6985</wp:posOffset>
              </wp:positionV>
              <wp:extent cx="3065780" cy="393700"/>
              <wp:effectExtent l="0" t="0" r="0" b="0"/>
              <wp:wrapNone/>
              <wp:docPr id="44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65780" cy="393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ind w:firstLine="1920" w:firstLineChars="800"/>
                            <w:rPr>
                              <w:rFonts w:hint="eastAsia" w:ascii="楷体" w:hAnsi="楷体" w:eastAsia="楷体" w:cs="楷体"/>
                              <w:b w:val="0"/>
                              <w:bCs w:val="0"/>
                              <w:sz w:val="24"/>
                              <w:szCs w:val="24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3" o:spid="_x0000_s1026" o:spt="202" type="#_x0000_t202" style="position:absolute;left:0pt;margin-left:295.35pt;margin-top:-0.55pt;height:31pt;width:241.4pt;z-index:251664384;mso-width-relative:page;mso-height-relative:page;" filled="f" stroked="f" coordsize="21600,21600" o:gfxdata="UEsDBAoAAAAAAIdO4kAAAAAAAAAAAAAAAAAEAAAAZHJzL1BLAwQUAAAACACHTuJAM4cG5tsAAAAK&#10;AQAADwAAAGRycy9kb3ducmV2LnhtbE2Py07DMBBF90j8gzVI7Fo7RekjxKlQpAoJwaKlG3aTeJpE&#10;xOMQuw/4etwVLEf36N4z+fpie3Gi0XeONSRTBYK4dqbjRsP+fTNZgvAB2WDvmDR8k4d1cXuTY2bc&#10;mbd02oVGxBL2GWpoQxgyKX3dkkU/dQNxzA5utBjiOTbSjHiO5baXM6Xm0mLHcaHFgcqW6s/d0Wp4&#10;KTdvuK1mdvnTl8+vh6fha/+Ran1/l6hHEIEu4Q+Gq35UhyI6Ve7IxoteQ7pSi4hqmCQJiCugFg8p&#10;iErDXK1AFrn8/0LxC1BLAwQUAAAACACHTuJAudSuzUQCAAB2BAAADgAAAGRycy9lMm9Eb2MueG1s&#10;rVTNjtMwEL4j8Q6W7zTp/27VdFW2KkKq2JUK4uw6ThPJ9hjbbVIeAN6AExfuPFefg7HTdquFwx64&#10;OGPP+Jv5vhlnetcoSfbCugp0RrudlBKhOeSV3mb008flmxtKnGc6ZxK0yOhBOHo3e/1qWpuJ6EEJ&#10;MheWIIh2k9pktPTeTJLE8VIo5jpghEZnAVYxj1u7TXLLakRXMuml6SipwebGAhfO4emiddITon0J&#10;IBRFxcUC+E4J7VtUKyTzSMmVlXF0FqstCsH9Q1E44YnMKDL1ccUkaG/CmsymbLK1zJQVP5XAXlLC&#10;M06KVRqTXqAWzDOys9VfUKriFhwUvsNBJS2RqAiy6KbPtFmXzIjIBaV25iK6+3+w/MP+0ZIqz+hg&#10;QIlmCjt+/PH9+PP38dc3MugHgWrjJhi3Nhjpm7fQ4Niczx0eBt5NYVX4IiOCfpT3cJFXNJ5wPOyn&#10;o+H4Bl0cff3b/jiN+idPt411/p0ARYKRUYvti6qy/cp5rARDzyEhmYZlJWVsodSkzuioP0zjhYsH&#10;b0gdYkUchhNMYNRWHizfbJoTzQ3kB2RpoR0UZ/iywlJWzPlHZnEysHp8O/4Bl0ICpoSTRUkJ9uu/&#10;zkM8Ngy9lNQ4aRl1X3bMCkrke42tvO0OBgjr42YwHPdwY689m2uP3ql7wGHu4is1PJoh3suzWVhQ&#10;n/GJzUNWdDHNMXdG/dm89+384xPlYj6PQTiMhvmVXhseoFtx5zsPRRV1DzK12mATwgbHMbbj9HTC&#10;vF/vY9TT72L2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DOHBubbAAAACgEAAA8AAAAAAAAAAQAg&#10;AAAAIgAAAGRycy9kb3ducmV2LnhtbFBLAQIUABQAAAAIAIdO4kC51K7NRAIAAHYEAAAOAAAAAAAA&#10;AAEAIAAAACoBAABkcnMvZTJvRG9jLnhtbFBLBQYAAAAABgAGAFkBAADg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ind w:firstLine="1920" w:firstLineChars="800"/>
                      <w:rPr>
                        <w:rFonts w:hint="eastAsia" w:ascii="楷体" w:hAnsi="楷体" w:eastAsia="楷体" w:cs="楷体"/>
                        <w:b w:val="0"/>
                        <w:bCs w:val="0"/>
                        <w:sz w:val="24"/>
                        <w:szCs w:val="24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t>第 1 页第 1 页E485-B04模块使用手册E485-B04模块使用手册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Sb3G8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ou2EaFT//+H7+&#10;+fv86xvBGQSqXZgj7sEhMjbvbIO2Gc4DDhPvpvQ6fcGIwA95Txd5RRMJT5dm09lsDBeHb9gAP3u6&#10;7nyI74XVJBk59ahfKys7bkPsQoeQlM3YjVSqraEypM7p9dXbcXvh4gG4MsiRSHSPTVZsdk3PbGeL&#10;E4h52/VGcHwjkXzLQrxnHs2AB2Nc4h2WUlkksb1FSWX913+dp3jUCF5KajRXTg1miRL1waB2AIyD&#10;4QdjNxjmoG8tunWCMXS8NXHBRzWYpbf6C2ZolXLAxQxHppzGwbyNXYNjBrlYrdqgg/NyX3UX0HmO&#10;xa15cDylSUIGtzpEiNlqnATqVOl1Q++1VernJDX3n/s2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Sb3G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t>第 1 页第 1 页E485-B04模块使用手册E485-B04模块使用手册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3750945</wp:posOffset>
              </wp:positionH>
              <wp:positionV relativeFrom="paragraph">
                <wp:posOffset>-6985</wp:posOffset>
              </wp:positionV>
              <wp:extent cx="3065780" cy="393700"/>
              <wp:effectExtent l="0" t="0" r="0" b="0"/>
              <wp:wrapNone/>
              <wp:docPr id="18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65780" cy="393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ind w:firstLine="1200" w:firstLineChars="500"/>
                            <w:rPr>
                              <w:rFonts w:hint="eastAsia" w:ascii="楷体" w:hAnsi="楷体" w:eastAsia="楷体" w:cs="楷体"/>
                              <w:b w:val="0"/>
                              <w:bCs w:val="0"/>
                              <w:sz w:val="24"/>
                              <w:szCs w:val="24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3" o:spid="_x0000_s1026" o:spt="202" type="#_x0000_t202" style="position:absolute;left:0pt;margin-left:295.35pt;margin-top:-0.55pt;height:31pt;width:241.4pt;z-index:251665408;mso-width-relative:page;mso-height-relative:page;" filled="f" stroked="f" coordsize="21600,21600" o:gfxdata="UEsDBAoAAAAAAIdO4kAAAAAAAAAAAAAAAAAEAAAAZHJzL1BLAwQUAAAACACHTuJAM4cG5tsAAAAK&#10;AQAADwAAAGRycy9kb3ducmV2LnhtbE2Py07DMBBF90j8gzVI7Fo7RekjxKlQpAoJwaKlG3aTeJpE&#10;xOMQuw/4etwVLEf36N4z+fpie3Gi0XeONSRTBYK4dqbjRsP+fTNZgvAB2WDvmDR8k4d1cXuTY2bc&#10;mbd02oVGxBL2GWpoQxgyKX3dkkU/dQNxzA5utBjiOTbSjHiO5baXM6Xm0mLHcaHFgcqW6s/d0Wp4&#10;KTdvuK1mdvnTl8+vh6fha/+Ran1/l6hHEIEu4Q+Gq35UhyI6Ve7IxoteQ7pSi4hqmCQJiCugFg8p&#10;iErDXK1AFrn8/0LxC1BLAwQUAAAACACHTuJAXeQ2nUMCAAB2BAAADgAAAGRycy9lMm9Eb2MueG1s&#10;rVRLbtswEN0X6B0I7hvJn/wMy4EbI0WBoAngFl3TFGUJ4K8kHSk9QHuDrrrpvufyOfpI2Y6RdpFF&#10;N9SQM3wz781Q06tOSfIgnG+MLujgJKdEaG7KRq8L+unjzZsLSnxgumTSaFHQR+Hp1ez1q2lrJ2Jo&#10;aiNL4QhAtJ+0tqB1CHaSZZ7XQjF/YqzQcFbGKRawdeusdKwFupLZMM/Psta40jrDhfc4XfROukN0&#10;LwE0VdVwsTB8o4QOPaoTkgVQ8nVjPZ2laqtK8HBXVV4EIgsKpiGtSAJ7FddsNmWTtWO2bviuBPaS&#10;Ep5xUqzRSHqAWrDAyMY1f0GphjvjTRVOuFFZTyQpAhaD/Jk2y5pZkbhAam8Povv/B8s/PNw70pSY&#10;BPRdM4WOb3983/78vf31jYxHUaDW+gnilhaRoXtrOgTvzz0OI++ucip+wYjAD3kfD/KKLhCOw1F+&#10;dnp+AReHb3Q5Os+T/tnTbet8eCeMItEoqEP7kqrs4dYHVILQfUhMps1NI2VqodSkLejZ6DRPFw4e&#10;3JA6xoo0DDuYyKivPFqhW3U7mitTPoKlM/2geMtvGpRyy3y4Zw6TgerxdsIdlkoapDQ7i5LauK//&#10;Oo/xaBi8lLSYtIL6LxvmBCXyvUYrLwfjMWBD2oxPz4fYuGPP6tijN+raYJgHeKWWJzPGB7k3K2fU&#10;ZzyxecwKF9McuQsa9uZ16OcfT5SL+TwFYRgtC7d6aXmE7sWdb4KpmqR7lKnXBk2IG4xjasfu6cR5&#10;P96nqKffxew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M4cG5tsAAAAKAQAADwAAAAAAAAABACAA&#10;AAAiAAAAZHJzL2Rvd25yZXYueG1sUEsBAhQAFAAAAAgAh07iQF3kNp1DAgAAdgQAAA4AAAAAAAAA&#10;AQAgAAAAKg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ind w:firstLine="1200" w:firstLineChars="500"/>
                      <w:rPr>
                        <w:rFonts w:hint="eastAsia" w:ascii="楷体" w:hAnsi="楷体" w:eastAsia="楷体" w:cs="楷体"/>
                        <w:b w:val="0"/>
                        <w:bCs w:val="0"/>
                        <w:sz w:val="24"/>
                        <w:szCs w:val="24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6053455</wp:posOffset>
              </wp:positionH>
              <wp:positionV relativeFrom="page">
                <wp:posOffset>279400</wp:posOffset>
              </wp:positionV>
              <wp:extent cx="1467485" cy="292735"/>
              <wp:effectExtent l="0" t="0" r="18415" b="12065"/>
              <wp:wrapNone/>
              <wp:docPr id="49" name="组合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467485" cy="292735"/>
                        <a:chOff x="6060605" y="594210"/>
                        <a:chExt cx="1467167" cy="292684"/>
                      </a:xfr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effectLst/>
                    </wpg:grpSpPr>
                    <wps:wsp>
                      <wps:cNvPr id="50" name="矩形 18"/>
                      <wps:cNvSpPr/>
                      <wps:spPr>
                        <a:xfrm>
                          <a:off x="6060605" y="594210"/>
                          <a:ext cx="292684" cy="292684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7BD3"/>
                            </a:gs>
                            <a:gs pos="100000">
                              <a:srgbClr val="034373"/>
                            </a:gs>
                          </a:gsLst>
                          <a:lin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  <wps:wsp>
                      <wps:cNvPr id="51" name="矩形 19"/>
                      <wps:cNvSpPr/>
                      <wps:spPr>
                        <a:xfrm>
                          <a:off x="6452099" y="594210"/>
                          <a:ext cx="292684" cy="29268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  <wps:wsp>
                      <wps:cNvPr id="52" name="矩形 20"/>
                      <wps:cNvSpPr/>
                      <wps:spPr>
                        <a:xfrm>
                          <a:off x="6843594" y="594210"/>
                          <a:ext cx="292684" cy="29268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  <wps:wsp>
                      <wps:cNvPr id="53" name="矩形 21"/>
                      <wps:cNvSpPr/>
                      <wps:spPr>
                        <a:xfrm>
                          <a:off x="7235088" y="594210"/>
                          <a:ext cx="292684" cy="29268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</wpg:wgp>
                </a:graphicData>
              </a:graphic>
            </wp:anchor>
          </w:drawing>
        </mc:Choice>
        <mc:Fallback>
          <w:pict>
            <v:group id="组合 3" o:spid="_x0000_s1026" o:spt="203" style="position:absolute;left:0pt;margin-left:476.65pt;margin-top:22pt;height:23.05pt;width:115.55pt;mso-position-horizontal-relative:page;mso-position-vertical-relative:page;z-index:251663360;mso-width-relative:page;mso-height-relative:page;" coordorigin="6060605,594210" coordsize="1467167,292684" o:gfxdata="UEsDBAoAAAAAAIdO4kAAAAAAAAAAAAAAAAAEAAAAZHJzL1BLAwQUAAAACACHTuJApta5VtkAAAAK&#10;AQAADwAAAGRycy9kb3ducmV2LnhtbE2PQUvDQBCF74L/YRnBm91dk0qN2RQp6qkIbQXxtk2mSWh2&#10;NmS3SfvvnZ70OLyPN9/Ll2fXiRGH0HoyoGcKBFLpq5ZqA1+794cFiBAtVbbzhAYuGGBZ3N7kNqv8&#10;RBsct7EWXEIhswaaGPtMylA26GyY+R6Js4MfnI18DrWsBjtxuevko1JP0tmW+ENje1w1WB63J2fg&#10;Y7LTa6LfxvXxsLr87Oaf32uNxtzfafUCIuI5/sFw1Wd1KNhp709UBdEZeJ4nCaMG0pQ3XQG9SFMQ&#10;e46UBlnk8v+E4hdQSwMEFAAAAAgAh07iQBX4ZldVAwAAKw0AAA4AAABkcnMvZTJvRG9jLnhtbO1X&#10;S27bMBDdF+gdCO4bS7Jky0bsALGbbPoJkPYADEV9AEpkSdpK9l102RsU6K5nKHqcoNfokJQdx0na&#10;JG3QoogNGCI1HM689zgc7+6d1hwtmdKVaCY43AkwYg0VWdUUE/z2zcGzFCNtSJMRLho2wWdM473p&#10;0ye7rRyzSJSCZ0whcNLocSsnuDRGjns9TUtWE70jJGvgZS5UTQwMVdHLFGnBe817URAMeq1QmVSC&#10;Mq1hdu5f4s6juo1DkecVZXNBFzVrjPeqGCcGUtJlJTWeumjznFHzOs81M4hPMGRq3C9sAs8n9rc3&#10;3SXjQhFZVrQLgdwmhK2calI1sOna1ZwYghaquuKqrqgSWuRmh4q65xNxiEAWYbCFzaESC+lyKcZt&#10;IdegA1FbqN/bLX21PFKoyiY4HmHUkBoY//71/fnHD6hvwWllMQabQyWP5ZHqJgo/svme5qpGSjhc&#10;7RgyQqcO3rM1vOzUIAqTYTwYxmmCEYV30Sga9hOPPy2BJLtsENgvWIBBMoqjsCOIls83fISD4drH&#10;II2tj56PxEagBa+yg4pzN1DFyYwrtCTAf5Kkz+eJo4kv6pci89ODAD4+EJi2kTjreDUNvrV34/a5&#10;5J85ib3QxsZgsVpD00o4HvqCM/17nB2XRDInBW356DhLQMYdZ5++nH/7jMLUJmL3BqM1Y3qsgbwV&#10;XRs03YT3ijEgyQK8Iuwq2FJpc8hEjezDBCs4bw5fsuwwIeOVid0WDtqamkKDiZvUSAqAJ3ArO6g9&#10;B0Ew3J87HQIJhd60Di091y3px/3h5hK3stuKVw3SlHAGeneU25cbMfEGtaDTaAieESVQ3XKoKvBY&#10;S1ihmwIjwgsom9QoF20jrNIAcp/nnOjSR+5U4kVVVwYKJq/qCU590F6wvLHLthS0ospSeCKyMyC6&#10;heoEm79bEMUwUobPhC9mpKGlgFpmg0F+MDOutnk1OgF6NTy8EsNtJY7upsQ4iYIRlKCtk/9QSrx0&#10;ii9p7gGqxKOsfn3X3VDgoi1ZRe7Y3r7ApXEfLpJ/QFajZL8/H7qi8acun0dZ3VtW/W1ZhXeqVsOo&#10;nwQpNMp/vVrNBvPRQXhFVtBoX9fTuPvHZvqznua/lJVrzqCHdql3/b5t0jfHroW7+I8z/Q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Cm1rlW2QAAAAoBAAAPAAAAAAAAAAEAIAAAACIAAABkcnMvZG93&#10;bnJldi54bWxQSwECFAAUAAAACACHTuJAFfhmV1UDAAArDQAADgAAAAAAAAABACAAAAAoAQAAZHJz&#10;L2Uyb0RvYy54bWxQSwUGAAAAAAYABgBZAQAA7wYAAAAA&#10;">
              <o:lock v:ext="edit" aspectratio="f"/>
              <v:rect id="矩形 18" o:spid="_x0000_s1026" o:spt="1" style="position:absolute;left:6060605;top:594210;height:292684;width:292684;v-text-anchor:middle;" fillcolor="#007BD3" filled="t" stroked="f" coordsize="21600,21600" o:gfxdata="UEsDBAoAAAAAAIdO4kAAAAAAAAAAAAAAAAAEAAAAZHJzL1BLAwQUAAAACACHTuJAM3XwubUAAADb&#10;AAAADwAAAGRycy9kb3ducmV2LnhtbEVPuwrCMBTdBf8hXMFNEwWlVKODKAiiYHVxuzTXttjclCY+&#10;v94MguPhvOfLl63Fg1pfOdYwGioQxLkzFRcazqfNIAHhA7LB2jFpeJOH5aLbmWNq3JOP9MhCIWII&#10;+xQ1lCE0qZQ+L8miH7qGOHJX11oMEbaFNC0+Y7it5VipqbRYcWwosaFVSfktu1sNa8XH7EBkiXfZ&#10;/nC+JpfVJ9G63xupGYhAr/AX/9xbo2ES18cv8QfIx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M3XwubUAAADbAAAADwAA&#10;AAAAAAABACAAAAAiAAAAZHJzL2Rvd25yZXYueG1sUEsBAhQAFAAAAAgAh07iQDMvBZ47AAAAOQAA&#10;ABAAAAAAAAAAAQAgAAAABAEAAGRycy9zaGFwZXhtbC54bWxQSwUGAAAAAAYABgBbAQAArgMAAAAA&#10;">
                <v:fill type="gradient" on="t" color2="#034373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rect>
              <v:rect id="矩形 19" o:spid="_x0000_s1026" o:spt="1" style="position:absolute;left:6452099;top:594210;height:292684;width:292684;v-text-anchor:middle;" fillcolor="#558ED5 [1951]" filled="t" stroked="f" coordsize="21600,21600" o:gfxdata="UEsDBAoAAAAAAIdO4kAAAAAAAAAAAAAAAAAEAAAAZHJzL1BLAwQUAAAACACHTuJApULLI78AAADb&#10;AAAADwAAAGRycy9kb3ducmV2LnhtbEWPQWvCQBSE70L/w/IKvUizidoiqWsOhYD0VKOUHl93n0k0&#10;+zZkV03/vVsoeBxm5htmVYy2ExcafOtYQZakIIi1My3XCva78nkJwgdkg51jUvBLHor1w2SFuXFX&#10;3tKlCrWIEPY5KmhC6HMpvW7Iok9cTxy9gxsshiiHWpoBrxFuOzlL01dpseW40GBP7w3pU3W2Ckr9&#10;cey3X9PPajwdF3Y+3ez0z7dST49Z+gYi0Bju4f/2xih4yeDvS/wBcn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CyyO/&#10;AAAA2wAAAA8AAAAAAAAAAQAgAAAAIgAAAGRycy9kb3ducmV2LnhtbFBLAQIUABQAAAAIAIdO4kAz&#10;LwWeOwAAADkAAAAQAAAAAAAAAAEAIAAAAA4BAABkcnMvc2hhcGV4bWwueG1sUEsFBgAAAAAGAAYA&#10;WwEAALg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20" o:spid="_x0000_s1026" o:spt="1" style="position:absolute;left:6843594;top:594210;height:292684;width:292684;v-text-anchor:middle;" fillcolor="#95B3D7 [1940]" filled="t" stroked="f" coordsize="21600,21600" o:gfxdata="UEsDBAoAAAAAAIdO4kAAAAAAAAAAAAAAAAAEAAAAZHJzL1BLAwQUAAAACACHTuJAd7a0Z7wAAADb&#10;AAAADwAAAGRycy9kb3ducmV2LnhtbEWPT4vCMBTE78J+h/AW9qaporJWo4e6y3rxYC17fjTPtNi8&#10;lCb+/fRGEDwOM/MbZrG62kacqfO1YwXDQQKCuHS6ZqOg2P/2v0H4gKyxcUwKbuRhtfzoLTDV7sI7&#10;OufBiAhhn6KCKoQ2ldKXFVn0A9cSR+/gOoshys5I3eElwm0jR0kylRZrjgsVtpRVVB7zk1Wwye7m&#10;/ndrs/9t/rOeFZmzZjxW6utzmMxBBLqGd/jV3mgFkxE8v8QfIJ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2tGe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21" o:spid="_x0000_s1026" o:spt="1" style="position:absolute;left:7235088;top:594210;height:292684;width:292684;v-text-anchor:middle;" fillcolor="#C6D9F1 [671]" filled="t" stroked="f" coordsize="21600,21600" o:gfxdata="UEsDBAoAAAAAAIdO4kAAAAAAAAAAAAAAAAAEAAAAZHJzL1BLAwQUAAAACACHTuJA6os9krwAAADb&#10;AAAADwAAAGRycy9kb3ducmV2LnhtbEWP3YrCMBCF7xd8hzDC3iyauqJoNQqKwuJdqw8wNGNTbCal&#10;Sa369BthYS8P5+fjrLcPW4s7tb5yrGAyTkAQF05XXCq4nI+jBQgfkDXWjknBkzxsN4OPNaba9ZzR&#10;PQ+liCPsU1RgQmhSKX1hyKIfu4Y4elfXWgxRtqXULfZx3NbyO0nm0mLFkWCwob2h4pZ3NnKzZd/t&#10;ZiZ7nc768NqVXX46fCn1OZwkKxCBHuE//Nf+0QpmU3h/iT9Ab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LPZK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v:group>
          </w:pict>
        </mc:Fallback>
      </mc:AlternateContent>
    </w:r>
    <w:r>
      <w:rPr>
        <w:sz w:val="48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-581660</wp:posOffset>
              </wp:positionV>
              <wp:extent cx="713740" cy="598170"/>
              <wp:effectExtent l="0" t="0" r="10160" b="11430"/>
              <wp:wrapNone/>
              <wp:docPr id="45" name="组合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713740" cy="598170"/>
                        <a:chOff x="174745" y="162124"/>
                        <a:chExt cx="827050" cy="797912"/>
                      </a:xfrm>
                      <a:solidFill>
                        <a:srgbClr val="0D0D0D">
                          <a:lumMod val="95000"/>
                          <a:lumOff val="5000"/>
                        </a:srgbClr>
                      </a:solidFill>
                      <a:effectLst/>
                    </wpg:grpSpPr>
                    <wps:wsp>
                      <wps:cNvPr id="46" name="矩形 1"/>
                      <wps:cNvSpPr/>
                      <wps:spPr>
                        <a:xfrm>
                          <a:off x="174745" y="162124"/>
                          <a:ext cx="509541" cy="509541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7BD3"/>
                            </a:gs>
                            <a:gs pos="100000">
                              <a:srgbClr val="034373"/>
                            </a:gs>
                          </a:gsLst>
                          <a:lin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  <wps:wsp>
                      <wps:cNvPr id="47" name="矩形 13"/>
                      <wps:cNvSpPr/>
                      <wps:spPr>
                        <a:xfrm>
                          <a:off x="550113" y="691377"/>
                          <a:ext cx="268652" cy="268659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  <wps:wsp>
                      <wps:cNvPr id="48" name="矩形 14"/>
                      <wps:cNvSpPr/>
                      <wps:spPr>
                        <a:xfrm>
                          <a:off x="775954" y="367496"/>
                          <a:ext cx="225841" cy="225848"/>
                        </a:xfrm>
                        <a:prstGeom prst="rect">
                          <a:avLst/>
                        </a:prstGeom>
                        <a:solidFill>
                          <a:srgbClr val="9DC3E6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 anchorCtr="0"/>
                    </wps:wsp>
                  </wpg:wgp>
                </a:graphicData>
              </a:graphic>
            </wp:anchor>
          </w:drawing>
        </mc:Choice>
        <mc:Fallback>
          <w:pict>
            <v:group id="组合 4" o:spid="_x0000_s1026" o:spt="203" style="position:absolute;left:0pt;margin-left:-53.85pt;margin-top:-45.8pt;height:47.1pt;width:56.2pt;z-index:251662336;mso-width-relative:page;mso-height-relative:page;" coordorigin="174745,162124" coordsize="827050,797912" o:gfxdata="UEsDBAoAAAAAAIdO4kAAAAAAAAAAAAAAAAAEAAAAZHJzL1BLAwQUAAAACACHTuJA7YBu99gAAAAI&#10;AQAADwAAAGRycy9kb3ducmV2LnhtbE2PwU7DMAyG70i8Q2QkbluSAd0oTSc0AadpEhsS2s1rvbZa&#10;k1RN1m5vjznBzb/86ffnbHmxrRioD413BvRUgSBX+LJxlYGv3ftkASJEdCW23pGBKwVY5rc3Gaal&#10;H90nDdtYCS5xIUUDdYxdKmUoarIYpr4jx7uj7y1Gjn0lyx5HLretnCmVSIuN4ws1drSqqThtz9bA&#10;x4jj64N+G9an4+q63z1tvteajLm/0+oFRKRL/IPhV5/VIWengz+7MojWwESr+ZxZnp51AoKRR84H&#10;A7MEZJ7J/w/kP1BLAwQUAAAACACHTuJA2XGthmYDAACTCgAADgAAAGRycy9lMm9Eb2MueG1s7VbL&#10;jtMwFN0j8Q9W9kyTtEmaaNqRaGdmw2Mk4AM8jvOQnNjY7mRmz4Ilf4DEjm9AfA7iN7h+pLRFMAMI&#10;FghVquxr+z7OOb7O8cl1x9AVlarl/SKIjsIA0Z7wsu3rRfDi+dmDeYCUxn2JGe/pIrihKjhZ3r93&#10;PIiCxrzhrKQSgZNeFYNYBI3WophMFGloh9URF7SHxYrLDmuYynpSSjyA945N4jBMJwOXpZCcUKXA&#10;unaLgfco7+KQV1VL6JqTTUd77bxKyrCGklTTChUsbbZVRYl+WlWKasQWAVSq7T8EgfGl+Z8sj3FR&#10;SyyalvgU8F1SOKipw20PQbeu1lhjtJHtN666lkiueKWPCO8mrhCLCFQRhQfYnEu+EbaWuhhqsQUd&#10;iDpA/ZfdkidXFxK15SKYJQHqcQeMf/7w6tOb12hmwBlEXcCecymeiQvpDbWbmXqvK9khyS2uZg4V&#10;oWsL780WXnqtEQFjFk2zGQBPYCnJ51Hm4ScNcGRORdksM2nAepTGUWwzwAVpTr2HeZyFifeQ5Vke&#10;xSbHiUvDhFecteVZy5idyPpyxSS6wob8tflZjtime8xLZ86TMPRpgNnkYXePVnCtnBcbZs89tfJ6&#10;pLRJweC0hWUQcDXUV77U7/H1rMGCWhkow8XIV7rl6+37Tx/focjxZfdsyVKFAt5GpnYY+g7WI1dJ&#10;mCezyHPlxvtIC6n0OeUdMoNFIOGmWXDxlUcEF+MWExWu2JaXWsEWa1RIcAAntCc90J6uMHu4nnp2&#10;a7W7OwLGgDNj2j8ynU2z3SNA3jYUa3ukCGYUlG75Nos7ObEeDaA60JeRF4a+VkE/gWEn4ITq6wBh&#10;VkPDJFra0D03MgNMXJ1rrBqXudWISRwXXauhVbK2WwRzl7TDkPVm9UA/I1NGPJe8vAGaB+hLEPzl&#10;BksaIKnZirs2hnvScOhiJhnkJittu5oJ4OVnLu/f0GF2qEPLgYkNYr1diEkSRtHUXvo0hw6ROexG&#10;IcbpPE1iJ0Q7zr0oTOcZ0f8JIe5d4X39hFm4GrWxt+2/OG5/q77TpOBjwj8qvkn5V+WO4siyBPqQ&#10;Fcc0zWZ5eiCOOJmPXSo24/mfEke+Xk1PU3vzd5+P1LYie9l3n4/ZaP7R+/FPqso+hPCtYp9L/11l&#10;PoZ257ZFff2WX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wUAAFtDb250ZW50X1R5cGVzXS54bWxQSwECFAAKAAAAAACHTuJAAAAAAAAAAAAA&#10;AAAABgAAAAAAAAAAABAAAAC5BAAAX3JlbHMvUEsBAhQAFAAAAAgAh07iQIoUZjzRAAAAlAEAAAsA&#10;AAAAAAAAAQAgAAAA3QQAAF9yZWxzLy5yZWxzUEsBAhQACgAAAAAAh07iQAAAAAAAAAAAAAAAAAQA&#10;AAAAAAAAAAAQAAAAAAAAAGRycy9QSwECFAAUAAAACACHTuJA7YBu99gAAAAIAQAADwAAAAAAAAAB&#10;ACAAAAAiAAAAZHJzL2Rvd25yZXYueG1sUEsBAhQAFAAAAAgAh07iQNlxrYZmAwAAkwoAAA4AAAAA&#10;AAAAAQAgAAAAJwEAAGRycy9lMm9Eb2MueG1sUEsFBgAAAAAGAAYAWQEAAP8GAAAAAA==&#10;">
              <o:lock v:ext="edit" aspectratio="f"/>
              <v:rect id="矩形 1" o:spid="_x0000_s1026" o:spt="1" style="position:absolute;left:174745;top:162124;height:509541;width:509541;v-text-anchor:middle;" fillcolor="#007BD3" filled="t" stroked="f" coordsize="21600,21600" o:gfxdata="UEsDBAoAAAAAAIdO4kAAAAAAAAAAAAAAAAAEAAAAZHJzL1BLAwQUAAAACACHTuJAVglbi7sAAADb&#10;AAAADwAAAGRycy9kb3ducmV2LnhtbEWPzYvCMBTE78L+D+Et7E0Tl0VKNfUguyAsCtZevD2a1w9s&#10;XkoTP/96Iwgeh5n5DbNYXm0nzjT41rGG6USBIC6dabnWUOz/xgkIH5ANdo5Jw408LLOP0QJT4y68&#10;o3MeahEh7FPU0ITQp1L6siGLfuJ64uhVbrAYohxqaQa8RLjt5LdSM2mx5bjQYE+rhspjfrIafhXv&#10;8i2RJf7PN9uiSg6re6L11+dUzUEEuoZ3+NVeGw0/M3h+iT9AZ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glbi7sAAADb&#10;AAAADwAAAAAAAAABACAAAAAiAAAAZHJzL2Rvd25yZXYueG1sUEsBAhQAFAAAAAgAh07iQDMvBZ47&#10;AAAAOQAAABAAAAAAAAAAAQAgAAAACgEAAGRycy9zaGFwZXhtbC54bWxQSwUGAAAAAAYABgBbAQAA&#10;tAMAAAAA&#10;">
                <v:fill type="gradient" on="t" color2="#034373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rect>
              <v:rect id="矩形 13" o:spid="_x0000_s1026" o:spt="1" style="position:absolute;left:550113;top:691377;height:268659;width:268652;v-text-anchor:middle;" fillcolor="#0070C0" filled="t" stroked="f" coordsize="21600,21600" o:gfxdata="UEsDBAoAAAAAAIdO4kAAAAAAAAAAAAAAAAAEAAAAZHJzL1BLAwQUAAAACACHTuJAhlvo18AAAADb&#10;AAAADwAAAGRycy9kb3ducmV2LnhtbEWPW2sCMRSE3wv+h3AEX6SbVUTL1ii0oPXBtnih7ONhc9xd&#10;3ZwsSerl35uC0MdhZr5hpvOracSZnK8tKxgkKQjiwuqaSwX73eL5BYQPyBoby6TgRh7ms87TFDNt&#10;L7yh8zaUIkLYZ6igCqHNpPRFRQZ9Ylvi6B2sMxiidKXUDi8Rbho5TNOxNFhzXKiwpfeKitP21yjI&#10;97vP0Zv7PuaH5fpnbL/ow5d9pXrdQfoKItA1/Icf7ZVWMJrA35f4A+Ts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W+jX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rect id="矩形 14" o:spid="_x0000_s1026" o:spt="1" style="position:absolute;left:775954;top:367496;height:225848;width:225841;v-text-anchor:middle;" fillcolor="#C4DBF0" filled="t" stroked="f" coordsize="21600,21600" o:gfxdata="UEsDBAoAAAAAAIdO4kAAAAAAAAAAAAAAAAAEAAAAZHJzL1BLAwQUAAAACACHTuJAfz33PbwAAADb&#10;AAAADwAAAGRycy9kb3ducmV2LnhtbD2PS4sCQQyE78L+hyaCN+1RFpFZWw+CKOxlfYHHMJ2dZ6dn&#10;p3sd/ffmIB6TVKrqW67vrlE36kLp2cB0koAizrwtOTdwPm3HC1AhIltsPJOBBwVYrz4GS0yt7/lA&#10;t2PMlZhwSNFAEWObah2yghyGiW+J5fbrO4dRxi7XtsNezF2jZ0ky1w5LloQCW9oUlNXHf2fAVtXu&#10;8rj0V727x83PKWJdfv8ZMxpOky9QkWT7Fr++99bAp5QVFuEAvX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899z2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599440</wp:posOffset>
              </wp:positionV>
              <wp:extent cx="7522210" cy="635"/>
              <wp:effectExtent l="0" t="19050" r="2540" b="37465"/>
              <wp:wrapNone/>
              <wp:docPr id="25" name="直接连接符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2210" cy="635"/>
                      </a:xfrm>
                      <a:prstGeom prst="line">
                        <a:avLst/>
                      </a:prstGeom>
                      <a:ln w="38100" cap="flat" cmpd="sng">
                        <a:solidFill>
                          <a:srgbClr val="2E75B6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7" o:spid="_x0000_s1026" o:spt="20" style="position:absolute;left:0pt;margin-left:0pt;margin-top:47.2pt;height:0.05pt;width:592.3pt;mso-position-horizontal-relative:page;mso-position-vertical-relative:page;z-index:251659264;mso-width-relative:page;mso-height-relative:page;mso-width-percent:1000;" filled="f" stroked="t" coordsize="21600,21600" o:gfxdata="UEsDBAoAAAAAAIdO4kAAAAAAAAAAAAAAAAAEAAAAZHJzL1BLAwQUAAAACACHTuJAF0jWGdUAAAAH&#10;AQAADwAAAGRycy9kb3ducmV2LnhtbE2PwU7DMBBE70j8g7VI3KgTZKoS4vSAxAHRCwWpHN14m1jY&#10;68h2mpSvxznBcWdGM2/r7ewsO2OIxpOEclUAQ2q9NtRJ+Px4udsAi0mRVtYTSrhghG1zfVWrSvuJ&#10;3vG8Tx3LJRQrJaFPaag4j22PTsWVH5Cyd/LBqZTP0HEd1JTLneX3RbHmThnKC70a8LnH9ns/Oglf&#10;nXlL4/T6M1khTmbeHS5hd5Dy9qYsnoAlnNNfGBb8jA5NZjr6kXRkVkJ+JEl4FALY4pYbsQZ2XJQH&#10;4E3N//M3v1BLAwQUAAAACACHTuJAWBCS+wICAADzAwAADgAAAGRycy9lMm9Eb2MueG1srVNLjhMx&#10;EN0jcQfLe9LpHiUZtdIZickMGwSRgANUbHe3Jf9kO+nkElwAiR2sWLLnNjMcg7I7ZGDYzIKNXXY9&#10;P9d7Li+vDlqRvfBBWtPQcjKlRBhmuTRdQz+8v31xSUmIYDgoa0RDjyLQq9XzZ8vB1aKyvVVceIIk&#10;JtSDa2gfo6uLIrBeaAgT64TBZGu9hohL3xXcw4DsWhXVdDovBuu585aJEHB3PSbpidE/hdC2rWRi&#10;bdlOCxNHVi8URJQUeukCXeVq21aw+LZtg4hENRSVxjziJRhv01isllB3Hlwv2akEeEoJjzRpkAYv&#10;PVOtIQLZefkPlZbM22DbOGFWF6OQ7AiqKKePvHnXgxNZC1od3Nn08P9o2Zv9xhPJG1rNKDGg8cXv&#10;P32/+/jl54/PON5/+0rKRbJpcKFG9LXZ+NMquI1Pmg+t12lGNeSQrT2erRWHSBhuLmZVVZXoOsPc&#10;/GKWGIuHo86H+EpYTVLQUCVN0g017F+HOEJ/Q9K2MmRo6MVlOU2MgF3Y4utjqB0qCabLh4NVkt9K&#10;pdKR4LvttfJkD9gJ1c1i9nJ+quEvWLplDaEfcTmVYFBrGUUSDnUvgN8YTuLRoVkGPwlN1WjBKVEC&#10;/1SKMjKCVE9BohHKoB/J4tHUFG0tP+Lb7JyXXY+mlLnelMFeyO6d+jY125/rzPTwV1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dI1hnVAAAABwEAAA8AAAAAAAAAAQAgAAAAIgAAAGRycy9kb3du&#10;cmV2LnhtbFBLAQIUABQAAAAIAIdO4kBYEJL7AgIAAPMDAAAOAAAAAAAAAAEAIAAAACQBAABkcnMv&#10;ZTJvRG9jLnhtbFBLBQYAAAAABgAGAFkBAACYBQAAAAA=&#10;">
              <v:fill on="f" focussize="0,0"/>
              <v:stroke weight="3pt" color="#2E75B6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926B7B"/>
    <w:multiLevelType w:val="singleLevel"/>
    <w:tmpl w:val="82926B7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9FF6281"/>
    <w:multiLevelType w:val="singleLevel"/>
    <w:tmpl w:val="A9FF628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BA5EEAA3"/>
    <w:multiLevelType w:val="singleLevel"/>
    <w:tmpl w:val="BA5EEAA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26D8F42"/>
    <w:multiLevelType w:val="singleLevel"/>
    <w:tmpl w:val="526D8F4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7CECC536"/>
    <w:multiLevelType w:val="singleLevel"/>
    <w:tmpl w:val="7CECC53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jMDViMjZiZWJjMGIzNGVkZGJiZjljNjk3MGZlYzAifQ=="/>
  </w:docVars>
  <w:rsids>
    <w:rsidRoot w:val="00172A27"/>
    <w:rsid w:val="002B6CCE"/>
    <w:rsid w:val="003F198A"/>
    <w:rsid w:val="00420B06"/>
    <w:rsid w:val="004C50E9"/>
    <w:rsid w:val="007B4086"/>
    <w:rsid w:val="007D3442"/>
    <w:rsid w:val="008C32EC"/>
    <w:rsid w:val="00D7244B"/>
    <w:rsid w:val="00DF687C"/>
    <w:rsid w:val="01083B93"/>
    <w:rsid w:val="014B4A94"/>
    <w:rsid w:val="01A35049"/>
    <w:rsid w:val="01A816B9"/>
    <w:rsid w:val="01C03B94"/>
    <w:rsid w:val="020411DA"/>
    <w:rsid w:val="02BA1F1B"/>
    <w:rsid w:val="02F23987"/>
    <w:rsid w:val="03091EDC"/>
    <w:rsid w:val="03561CFD"/>
    <w:rsid w:val="03BE0200"/>
    <w:rsid w:val="03C8651A"/>
    <w:rsid w:val="04161901"/>
    <w:rsid w:val="04E62105"/>
    <w:rsid w:val="051E4314"/>
    <w:rsid w:val="052F4C66"/>
    <w:rsid w:val="05535D73"/>
    <w:rsid w:val="05CA1772"/>
    <w:rsid w:val="06563BAB"/>
    <w:rsid w:val="068A255D"/>
    <w:rsid w:val="06AF1873"/>
    <w:rsid w:val="07702E6D"/>
    <w:rsid w:val="07CC0430"/>
    <w:rsid w:val="07CE2E09"/>
    <w:rsid w:val="09413B09"/>
    <w:rsid w:val="0970184A"/>
    <w:rsid w:val="09892BE0"/>
    <w:rsid w:val="09A23943"/>
    <w:rsid w:val="09BF3286"/>
    <w:rsid w:val="09FC0265"/>
    <w:rsid w:val="0A6D7B38"/>
    <w:rsid w:val="0A980775"/>
    <w:rsid w:val="0ABE2142"/>
    <w:rsid w:val="0B18396F"/>
    <w:rsid w:val="0B1E5C0C"/>
    <w:rsid w:val="0B317ABE"/>
    <w:rsid w:val="0B6B19B8"/>
    <w:rsid w:val="0B9059B8"/>
    <w:rsid w:val="0BC226DF"/>
    <w:rsid w:val="0BEE5659"/>
    <w:rsid w:val="0C097E74"/>
    <w:rsid w:val="0C197F77"/>
    <w:rsid w:val="0C2E2D44"/>
    <w:rsid w:val="0C6F3602"/>
    <w:rsid w:val="0C962314"/>
    <w:rsid w:val="0CA01BA4"/>
    <w:rsid w:val="0CA60235"/>
    <w:rsid w:val="0CBD69C9"/>
    <w:rsid w:val="0D0126B9"/>
    <w:rsid w:val="0D4A1A06"/>
    <w:rsid w:val="0D682F64"/>
    <w:rsid w:val="0DBA08FC"/>
    <w:rsid w:val="0DF06DD5"/>
    <w:rsid w:val="0E001329"/>
    <w:rsid w:val="0E130328"/>
    <w:rsid w:val="0E5E5486"/>
    <w:rsid w:val="0E8A57D0"/>
    <w:rsid w:val="0E9334C9"/>
    <w:rsid w:val="0EE00410"/>
    <w:rsid w:val="0F3C2704"/>
    <w:rsid w:val="0F52148F"/>
    <w:rsid w:val="0F7554C5"/>
    <w:rsid w:val="0FC419A9"/>
    <w:rsid w:val="103C7443"/>
    <w:rsid w:val="104E7358"/>
    <w:rsid w:val="10696E2A"/>
    <w:rsid w:val="10A55667"/>
    <w:rsid w:val="11104F69"/>
    <w:rsid w:val="11483401"/>
    <w:rsid w:val="11C52008"/>
    <w:rsid w:val="11C97B52"/>
    <w:rsid w:val="123D3B33"/>
    <w:rsid w:val="12AF26C0"/>
    <w:rsid w:val="136C2DD9"/>
    <w:rsid w:val="140F74FF"/>
    <w:rsid w:val="14D66C67"/>
    <w:rsid w:val="155327E6"/>
    <w:rsid w:val="15A27358"/>
    <w:rsid w:val="16666D83"/>
    <w:rsid w:val="16CA187E"/>
    <w:rsid w:val="16D47A08"/>
    <w:rsid w:val="16D5780A"/>
    <w:rsid w:val="16E3365C"/>
    <w:rsid w:val="16F023DD"/>
    <w:rsid w:val="17903B12"/>
    <w:rsid w:val="179B7CFC"/>
    <w:rsid w:val="1861091A"/>
    <w:rsid w:val="187E3C11"/>
    <w:rsid w:val="18963452"/>
    <w:rsid w:val="18C55222"/>
    <w:rsid w:val="19025A74"/>
    <w:rsid w:val="193B79D2"/>
    <w:rsid w:val="19B92850"/>
    <w:rsid w:val="1A9A764C"/>
    <w:rsid w:val="1ACC6AB2"/>
    <w:rsid w:val="1B3A2A7C"/>
    <w:rsid w:val="1B7924CA"/>
    <w:rsid w:val="1B7B163F"/>
    <w:rsid w:val="1BB97118"/>
    <w:rsid w:val="1C62789C"/>
    <w:rsid w:val="1C840654"/>
    <w:rsid w:val="1CB2348F"/>
    <w:rsid w:val="1CFB7321"/>
    <w:rsid w:val="1D7706C9"/>
    <w:rsid w:val="1D84327C"/>
    <w:rsid w:val="1DA57A72"/>
    <w:rsid w:val="1DAB6CD8"/>
    <w:rsid w:val="1DFB69F4"/>
    <w:rsid w:val="1E206F82"/>
    <w:rsid w:val="1EA63D02"/>
    <w:rsid w:val="1F321585"/>
    <w:rsid w:val="1F435339"/>
    <w:rsid w:val="1F4D1290"/>
    <w:rsid w:val="1F561ADD"/>
    <w:rsid w:val="1F6E6EEA"/>
    <w:rsid w:val="1F906846"/>
    <w:rsid w:val="1FF61C9C"/>
    <w:rsid w:val="1FFA4EF4"/>
    <w:rsid w:val="202B014A"/>
    <w:rsid w:val="205E3232"/>
    <w:rsid w:val="20AF50AD"/>
    <w:rsid w:val="20EA0455"/>
    <w:rsid w:val="20F126D9"/>
    <w:rsid w:val="21654B25"/>
    <w:rsid w:val="21AC5A95"/>
    <w:rsid w:val="21B55F95"/>
    <w:rsid w:val="21F242C1"/>
    <w:rsid w:val="21F745FD"/>
    <w:rsid w:val="22146DBF"/>
    <w:rsid w:val="223A34D1"/>
    <w:rsid w:val="224D2C8B"/>
    <w:rsid w:val="22800820"/>
    <w:rsid w:val="22A06FFB"/>
    <w:rsid w:val="22C040F6"/>
    <w:rsid w:val="22C506F9"/>
    <w:rsid w:val="230026F4"/>
    <w:rsid w:val="23C245F9"/>
    <w:rsid w:val="2496234D"/>
    <w:rsid w:val="24E22C94"/>
    <w:rsid w:val="25334BEB"/>
    <w:rsid w:val="25442C8A"/>
    <w:rsid w:val="262F6860"/>
    <w:rsid w:val="26551662"/>
    <w:rsid w:val="268A7650"/>
    <w:rsid w:val="268B4A9A"/>
    <w:rsid w:val="26FA453C"/>
    <w:rsid w:val="27010B8C"/>
    <w:rsid w:val="271230F7"/>
    <w:rsid w:val="27182376"/>
    <w:rsid w:val="27393FD0"/>
    <w:rsid w:val="27B05422"/>
    <w:rsid w:val="28DF00CE"/>
    <w:rsid w:val="290411E6"/>
    <w:rsid w:val="29110448"/>
    <w:rsid w:val="291C5773"/>
    <w:rsid w:val="29600BAA"/>
    <w:rsid w:val="29651993"/>
    <w:rsid w:val="296928CB"/>
    <w:rsid w:val="2987256D"/>
    <w:rsid w:val="29D432E5"/>
    <w:rsid w:val="29D713F9"/>
    <w:rsid w:val="2A203883"/>
    <w:rsid w:val="2AA9108E"/>
    <w:rsid w:val="2AFE52E8"/>
    <w:rsid w:val="2B3E7B0F"/>
    <w:rsid w:val="2B691EE0"/>
    <w:rsid w:val="2B6F24A5"/>
    <w:rsid w:val="2B746142"/>
    <w:rsid w:val="2B8A39A7"/>
    <w:rsid w:val="2BAC1ADD"/>
    <w:rsid w:val="2C831E2D"/>
    <w:rsid w:val="2CCC268C"/>
    <w:rsid w:val="2CE04A95"/>
    <w:rsid w:val="2CED1D10"/>
    <w:rsid w:val="2D135E1E"/>
    <w:rsid w:val="2D935D4A"/>
    <w:rsid w:val="2EA04153"/>
    <w:rsid w:val="2EB87648"/>
    <w:rsid w:val="2F2B3F7A"/>
    <w:rsid w:val="2F4A6136"/>
    <w:rsid w:val="2F5B11A2"/>
    <w:rsid w:val="2F716A9E"/>
    <w:rsid w:val="2F7A1C7F"/>
    <w:rsid w:val="2F8A61B1"/>
    <w:rsid w:val="2FE6236A"/>
    <w:rsid w:val="30226B4B"/>
    <w:rsid w:val="303D4635"/>
    <w:rsid w:val="3045182B"/>
    <w:rsid w:val="304A305D"/>
    <w:rsid w:val="308E5A3F"/>
    <w:rsid w:val="30937A49"/>
    <w:rsid w:val="30F87192"/>
    <w:rsid w:val="310D15A9"/>
    <w:rsid w:val="31137561"/>
    <w:rsid w:val="31212194"/>
    <w:rsid w:val="31377E75"/>
    <w:rsid w:val="313939E6"/>
    <w:rsid w:val="31BB3BC3"/>
    <w:rsid w:val="32157536"/>
    <w:rsid w:val="32181EAE"/>
    <w:rsid w:val="322047F6"/>
    <w:rsid w:val="32871DCD"/>
    <w:rsid w:val="32DB0C08"/>
    <w:rsid w:val="333B3913"/>
    <w:rsid w:val="3370211F"/>
    <w:rsid w:val="33CC6810"/>
    <w:rsid w:val="33E006F3"/>
    <w:rsid w:val="33E02FA5"/>
    <w:rsid w:val="341239EA"/>
    <w:rsid w:val="344917F8"/>
    <w:rsid w:val="34515C51"/>
    <w:rsid w:val="3493277D"/>
    <w:rsid w:val="34E413E9"/>
    <w:rsid w:val="350F487D"/>
    <w:rsid w:val="35220271"/>
    <w:rsid w:val="35D2089E"/>
    <w:rsid w:val="360154D6"/>
    <w:rsid w:val="364D1EBF"/>
    <w:rsid w:val="374B5ECB"/>
    <w:rsid w:val="37524D65"/>
    <w:rsid w:val="37896CF9"/>
    <w:rsid w:val="37D521BD"/>
    <w:rsid w:val="37E30225"/>
    <w:rsid w:val="380263EE"/>
    <w:rsid w:val="383A591B"/>
    <w:rsid w:val="3890729A"/>
    <w:rsid w:val="391D03B6"/>
    <w:rsid w:val="3967490C"/>
    <w:rsid w:val="39A1413F"/>
    <w:rsid w:val="39BF5C1A"/>
    <w:rsid w:val="39C64849"/>
    <w:rsid w:val="3A2E5FF7"/>
    <w:rsid w:val="3AAD6939"/>
    <w:rsid w:val="3AE55345"/>
    <w:rsid w:val="3B8A50DE"/>
    <w:rsid w:val="3D195CDE"/>
    <w:rsid w:val="3D6754C6"/>
    <w:rsid w:val="3D8001BA"/>
    <w:rsid w:val="3DBF5B30"/>
    <w:rsid w:val="3ED80504"/>
    <w:rsid w:val="3EE768AB"/>
    <w:rsid w:val="3EF7515C"/>
    <w:rsid w:val="3F021F8C"/>
    <w:rsid w:val="3FA8056F"/>
    <w:rsid w:val="3FAA619D"/>
    <w:rsid w:val="3FC8246F"/>
    <w:rsid w:val="404D03DF"/>
    <w:rsid w:val="40570AAC"/>
    <w:rsid w:val="4062134E"/>
    <w:rsid w:val="4091073C"/>
    <w:rsid w:val="41442743"/>
    <w:rsid w:val="416066E0"/>
    <w:rsid w:val="42032C95"/>
    <w:rsid w:val="428C42F8"/>
    <w:rsid w:val="42A630AA"/>
    <w:rsid w:val="42CE2CD4"/>
    <w:rsid w:val="42D519DD"/>
    <w:rsid w:val="42F36EC8"/>
    <w:rsid w:val="430D71E7"/>
    <w:rsid w:val="430F2F5F"/>
    <w:rsid w:val="43655650"/>
    <w:rsid w:val="440B5211"/>
    <w:rsid w:val="441F7EFA"/>
    <w:rsid w:val="44741DC9"/>
    <w:rsid w:val="44B27F3E"/>
    <w:rsid w:val="44CB2B82"/>
    <w:rsid w:val="44D0671E"/>
    <w:rsid w:val="453B0E51"/>
    <w:rsid w:val="46356A99"/>
    <w:rsid w:val="463A6393"/>
    <w:rsid w:val="466B0736"/>
    <w:rsid w:val="46761B7E"/>
    <w:rsid w:val="48142295"/>
    <w:rsid w:val="482D7546"/>
    <w:rsid w:val="483E3B2F"/>
    <w:rsid w:val="48BB5B90"/>
    <w:rsid w:val="4944347A"/>
    <w:rsid w:val="49706721"/>
    <w:rsid w:val="497B2E7D"/>
    <w:rsid w:val="49C35592"/>
    <w:rsid w:val="49C80F9E"/>
    <w:rsid w:val="49EB47E6"/>
    <w:rsid w:val="4A2A3862"/>
    <w:rsid w:val="4A2F01A4"/>
    <w:rsid w:val="4A3058F7"/>
    <w:rsid w:val="4B062139"/>
    <w:rsid w:val="4B5613CA"/>
    <w:rsid w:val="4C6C7008"/>
    <w:rsid w:val="4C730C63"/>
    <w:rsid w:val="4C821D0B"/>
    <w:rsid w:val="4C854765"/>
    <w:rsid w:val="4D312149"/>
    <w:rsid w:val="4DB91E66"/>
    <w:rsid w:val="4DBB775A"/>
    <w:rsid w:val="4DE05773"/>
    <w:rsid w:val="4DE13062"/>
    <w:rsid w:val="4E3B2251"/>
    <w:rsid w:val="4EA94671"/>
    <w:rsid w:val="4EDD6B06"/>
    <w:rsid w:val="4F175B9D"/>
    <w:rsid w:val="4F1F130A"/>
    <w:rsid w:val="4F5A222E"/>
    <w:rsid w:val="4F8446AA"/>
    <w:rsid w:val="4FA23DE5"/>
    <w:rsid w:val="502D7C51"/>
    <w:rsid w:val="50C36198"/>
    <w:rsid w:val="51195C51"/>
    <w:rsid w:val="514F12D0"/>
    <w:rsid w:val="51C63441"/>
    <w:rsid w:val="51C7315A"/>
    <w:rsid w:val="51D13B4E"/>
    <w:rsid w:val="51FA31A5"/>
    <w:rsid w:val="521D38D2"/>
    <w:rsid w:val="522E77FA"/>
    <w:rsid w:val="523B53CB"/>
    <w:rsid w:val="52A378A4"/>
    <w:rsid w:val="52C66D47"/>
    <w:rsid w:val="532724B3"/>
    <w:rsid w:val="5337299E"/>
    <w:rsid w:val="533D4B88"/>
    <w:rsid w:val="535771D3"/>
    <w:rsid w:val="539C649C"/>
    <w:rsid w:val="53E76B39"/>
    <w:rsid w:val="5447084E"/>
    <w:rsid w:val="544E765F"/>
    <w:rsid w:val="551964DC"/>
    <w:rsid w:val="556D3FE4"/>
    <w:rsid w:val="557C71E0"/>
    <w:rsid w:val="55851178"/>
    <w:rsid w:val="55AB6458"/>
    <w:rsid w:val="55F57CFB"/>
    <w:rsid w:val="564B5A77"/>
    <w:rsid w:val="566A2362"/>
    <w:rsid w:val="56874CD1"/>
    <w:rsid w:val="56AA344C"/>
    <w:rsid w:val="56EF1F96"/>
    <w:rsid w:val="578859AA"/>
    <w:rsid w:val="57A32C6A"/>
    <w:rsid w:val="57A47275"/>
    <w:rsid w:val="57E97DCB"/>
    <w:rsid w:val="581522C1"/>
    <w:rsid w:val="58422F18"/>
    <w:rsid w:val="58AE58B4"/>
    <w:rsid w:val="593057B0"/>
    <w:rsid w:val="599C3B33"/>
    <w:rsid w:val="59DC0971"/>
    <w:rsid w:val="5A26138D"/>
    <w:rsid w:val="5A493582"/>
    <w:rsid w:val="5A6158B5"/>
    <w:rsid w:val="5A7122F9"/>
    <w:rsid w:val="5A7557DC"/>
    <w:rsid w:val="5A9A2114"/>
    <w:rsid w:val="5B51320D"/>
    <w:rsid w:val="5B5213BD"/>
    <w:rsid w:val="5B554866"/>
    <w:rsid w:val="5B637199"/>
    <w:rsid w:val="5C0D043D"/>
    <w:rsid w:val="5C893784"/>
    <w:rsid w:val="5CB16DCA"/>
    <w:rsid w:val="5CE16BF5"/>
    <w:rsid w:val="5D017965"/>
    <w:rsid w:val="5D844BB8"/>
    <w:rsid w:val="5DE80934"/>
    <w:rsid w:val="5DEC0CE8"/>
    <w:rsid w:val="5DFB481C"/>
    <w:rsid w:val="5E2538B3"/>
    <w:rsid w:val="5E60690D"/>
    <w:rsid w:val="5E770717"/>
    <w:rsid w:val="5E9424EC"/>
    <w:rsid w:val="5EC16D46"/>
    <w:rsid w:val="5F0D7E5A"/>
    <w:rsid w:val="601C5979"/>
    <w:rsid w:val="60213778"/>
    <w:rsid w:val="605B738C"/>
    <w:rsid w:val="607D71B5"/>
    <w:rsid w:val="608A688B"/>
    <w:rsid w:val="608C7479"/>
    <w:rsid w:val="60C3637E"/>
    <w:rsid w:val="613F7BEC"/>
    <w:rsid w:val="61552E49"/>
    <w:rsid w:val="615B6410"/>
    <w:rsid w:val="61BB6C02"/>
    <w:rsid w:val="61FB0E26"/>
    <w:rsid w:val="62176BDD"/>
    <w:rsid w:val="623562FF"/>
    <w:rsid w:val="62AA3B7B"/>
    <w:rsid w:val="6397692D"/>
    <w:rsid w:val="63A44570"/>
    <w:rsid w:val="63A72E35"/>
    <w:rsid w:val="63C4384E"/>
    <w:rsid w:val="640465A8"/>
    <w:rsid w:val="6408490F"/>
    <w:rsid w:val="64884E1A"/>
    <w:rsid w:val="64B4129E"/>
    <w:rsid w:val="64F5529E"/>
    <w:rsid w:val="65075270"/>
    <w:rsid w:val="65977F6A"/>
    <w:rsid w:val="66417511"/>
    <w:rsid w:val="66EE776F"/>
    <w:rsid w:val="66FE3E7C"/>
    <w:rsid w:val="671955E2"/>
    <w:rsid w:val="67407386"/>
    <w:rsid w:val="678831FD"/>
    <w:rsid w:val="67B23C66"/>
    <w:rsid w:val="68B0166E"/>
    <w:rsid w:val="68CE15F7"/>
    <w:rsid w:val="68F14D31"/>
    <w:rsid w:val="691C2B3F"/>
    <w:rsid w:val="69331A3A"/>
    <w:rsid w:val="69A732A2"/>
    <w:rsid w:val="69BE31CD"/>
    <w:rsid w:val="69ED1A4F"/>
    <w:rsid w:val="6A08639F"/>
    <w:rsid w:val="6ABB5194"/>
    <w:rsid w:val="6B286003"/>
    <w:rsid w:val="6B3D408B"/>
    <w:rsid w:val="6B4849B1"/>
    <w:rsid w:val="6BE0092D"/>
    <w:rsid w:val="6C6136FE"/>
    <w:rsid w:val="6C62204E"/>
    <w:rsid w:val="6CAD0258"/>
    <w:rsid w:val="6CBC197E"/>
    <w:rsid w:val="6D450261"/>
    <w:rsid w:val="6E8120D7"/>
    <w:rsid w:val="6F521011"/>
    <w:rsid w:val="6F6A09F7"/>
    <w:rsid w:val="6F7F06C2"/>
    <w:rsid w:val="7076296A"/>
    <w:rsid w:val="70993D4E"/>
    <w:rsid w:val="70C459E5"/>
    <w:rsid w:val="71584194"/>
    <w:rsid w:val="71715CF7"/>
    <w:rsid w:val="719A77F4"/>
    <w:rsid w:val="7206576B"/>
    <w:rsid w:val="72236D72"/>
    <w:rsid w:val="72A1689B"/>
    <w:rsid w:val="72D379EF"/>
    <w:rsid w:val="731D05A0"/>
    <w:rsid w:val="73C03456"/>
    <w:rsid w:val="73D97F55"/>
    <w:rsid w:val="74D53AF8"/>
    <w:rsid w:val="7525684D"/>
    <w:rsid w:val="75CF068D"/>
    <w:rsid w:val="75FA35B6"/>
    <w:rsid w:val="76A31519"/>
    <w:rsid w:val="76E07F74"/>
    <w:rsid w:val="77324764"/>
    <w:rsid w:val="776437A4"/>
    <w:rsid w:val="77891451"/>
    <w:rsid w:val="77904E1B"/>
    <w:rsid w:val="77925931"/>
    <w:rsid w:val="77970B6E"/>
    <w:rsid w:val="77AB270D"/>
    <w:rsid w:val="77B445D8"/>
    <w:rsid w:val="77BF324C"/>
    <w:rsid w:val="77FE241E"/>
    <w:rsid w:val="785508D9"/>
    <w:rsid w:val="78FA2FEB"/>
    <w:rsid w:val="79145858"/>
    <w:rsid w:val="79581DD9"/>
    <w:rsid w:val="79734EBB"/>
    <w:rsid w:val="79F0399A"/>
    <w:rsid w:val="7AD11E2F"/>
    <w:rsid w:val="7B0B436C"/>
    <w:rsid w:val="7B5124B5"/>
    <w:rsid w:val="7B8B104D"/>
    <w:rsid w:val="7BA81950"/>
    <w:rsid w:val="7C5F443B"/>
    <w:rsid w:val="7C8845EB"/>
    <w:rsid w:val="7C8A0064"/>
    <w:rsid w:val="7C8B3136"/>
    <w:rsid w:val="7DB40D38"/>
    <w:rsid w:val="7DC70098"/>
    <w:rsid w:val="7E50284C"/>
    <w:rsid w:val="7EBD31F1"/>
    <w:rsid w:val="7F376E5C"/>
    <w:rsid w:val="7F4734A5"/>
    <w:rsid w:val="7F55402A"/>
    <w:rsid w:val="7F7F2E9A"/>
    <w:rsid w:val="7FCC5BC4"/>
    <w:rsid w:val="7FD76D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1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Hyperlink"/>
    <w:basedOn w:val="14"/>
    <w:semiHidden/>
    <w:unhideWhenUsed/>
    <w:qFormat/>
    <w:uiPriority w:val="99"/>
    <w:rPr>
      <w:color w:val="0000FF"/>
      <w:u w:val="single"/>
    </w:rPr>
  </w:style>
  <w:style w:type="character" w:customStyle="1" w:styleId="17">
    <w:name w:val="批注框文本 Char"/>
    <w:basedOn w:val="14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rFonts w:ascii="Calibri" w:hAnsi="Calibri" w:eastAsia="宋体" w:cs="Times New Roman"/>
      <w:sz w:val="18"/>
      <w:szCs w:val="24"/>
    </w:rPr>
  </w:style>
  <w:style w:type="character" w:customStyle="1" w:styleId="19">
    <w:name w:val="页眉 Char"/>
    <w:basedOn w:val="14"/>
    <w:link w:val="9"/>
    <w:qFormat/>
    <w:uiPriority w:val="0"/>
    <w:rPr>
      <w:rFonts w:ascii="Calibri" w:hAnsi="Calibri" w:eastAsia="宋体" w:cs="Times New Roman"/>
      <w:sz w:val="18"/>
      <w:szCs w:val="24"/>
    </w:rPr>
  </w:style>
  <w:style w:type="table" w:customStyle="1" w:styleId="20">
    <w:name w:val="Table Normal"/>
    <w:unhideWhenUsed/>
    <w:qFormat/>
    <w:uiPriority w:val="0"/>
    <w:rPr>
      <w:rFonts w:ascii="Calibri" w:hAnsi="Calibri" w:eastAsia="宋体" w:cs="Times New Roman"/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WPSOffice手动目录 1"/>
    <w:qFormat/>
    <w:uiPriority w:val="0"/>
    <w:rPr>
      <w:rFonts w:ascii="Calibri" w:hAnsi="Calibri" w:eastAsia="宋体" w:cs="Times New Roman"/>
      <w:lang w:val="en-US" w:eastAsia="zh-CN" w:bidi="ar-SA"/>
    </w:rPr>
  </w:style>
  <w:style w:type="paragraph" w:customStyle="1" w:styleId="22">
    <w:name w:val="样式1"/>
    <w:basedOn w:val="1"/>
    <w:qFormat/>
    <w:uiPriority w:val="0"/>
    <w:rPr>
      <w:rFonts w:cs="Times New Roman"/>
    </w:rPr>
  </w:style>
  <w:style w:type="paragraph" w:customStyle="1" w:styleId="23">
    <w:name w:val="WPSOffice手动目录 2"/>
    <w:qFormat/>
    <w:uiPriority w:val="0"/>
    <w:pPr>
      <w:ind w:leftChars="200"/>
    </w:pPr>
    <w:rPr>
      <w:rFonts w:ascii="Calibri" w:hAnsi="Calibri" w:eastAsia="宋体" w:cs="Times New Roman"/>
      <w:sz w:val="20"/>
      <w:szCs w:val="20"/>
    </w:rPr>
  </w:style>
  <w:style w:type="paragraph" w:customStyle="1" w:styleId="24">
    <w:name w:val="WPSOffice手动目录 3"/>
    <w:qFormat/>
    <w:uiPriority w:val="0"/>
    <w:pPr>
      <w:ind w:leftChars="400"/>
    </w:pPr>
    <w:rPr>
      <w:rFonts w:ascii="Calibri" w:hAnsi="Calibri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2239</Words>
  <Characters>2948</Characters>
  <Lines>21</Lines>
  <Paragraphs>6</Paragraphs>
  <TotalTime>1</TotalTime>
  <ScaleCrop>false</ScaleCrop>
  <LinksUpToDate>false</LinksUpToDate>
  <CharactersWithSpaces>3105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2021-09-10T08:55:00Z</dcterms:created>
  <dc:creator>Administrator</dc:creator>
  <cp:lastModifiedBy>WpsUser</cp:lastModifiedBy>
  <dcterms:modified xsi:type="dcterms:W3CDTF">2026-09-22T00:23:24Z</dcterms:modified>
  <dc:title>RS485-ETH-M04使用手册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0B578158386E4DD2ACFE2F1BEB80D5C7_13</vt:lpwstr>
  </property>
  <property fmtid="{D5CDD505-2E9C-101B-9397-08002B2CF9AE}" pid="4" name="KSOTemplateDocerSaveRecord">
    <vt:lpwstr>eyJoZGlkIjoiNGFjYWE5OGE0Yzk3NGMzNTg0MTRiOGU4MDI1ZjM2ODMiLCJ1c2VySWQiOiI1NzQ2MTM4MTYifQ==</vt:lpwstr>
  </property>
</Properties>
</file>